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204"/>
        <w:rPr>
          <w:rFonts w:ascii="Times New Roman"/>
          <w:sz w:val="2"/>
        </w:rPr>
      </w:pPr>
      <w:r>
        <w:rPr>
          <w:rFonts w:ascii="Times New Roman"/>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rFonts w:ascii="Times New Roman"/>
          <w:sz w:val="2"/>
        </w:rPr>
      </w:r>
    </w:p>
    <w:p>
      <w:pPr>
        <w:pStyle w:val="BodyText"/>
        <w:rPr>
          <w:rFonts w:ascii="Times New Roman"/>
        </w:rPr>
      </w:pPr>
    </w:p>
    <w:p>
      <w:pPr>
        <w:pStyle w:val="BodyText"/>
        <w:rPr>
          <w:rFonts w:ascii="Times New Roman"/>
        </w:rPr>
      </w:pPr>
    </w:p>
    <w:p>
      <w:pPr>
        <w:pStyle w:val="BodyText"/>
        <w:spacing w:before="5"/>
        <w:rPr>
          <w:rFonts w:ascii="Times New Roman"/>
          <w:sz w:val="27"/>
        </w:rPr>
      </w:pPr>
    </w:p>
    <w:p>
      <w:pPr>
        <w:pStyle w:val="BodyText"/>
        <w:spacing w:before="93"/>
        <w:ind w:left="726"/>
      </w:pPr>
      <w:r>
        <w:rPr/>
        <w:t>İŞBU TÜZÜK'Ü KABUL ETMİŞTİR:</w:t>
      </w:r>
    </w:p>
    <w:p>
      <w:pPr>
        <w:pStyle w:val="BodyText"/>
        <w:spacing w:before="7"/>
        <w:rPr>
          <w:sz w:val="22"/>
        </w:rPr>
      </w:pPr>
    </w:p>
    <w:p>
      <w:pPr>
        <w:pStyle w:val="BodyText"/>
        <w:spacing w:before="93"/>
        <w:ind w:left="2207" w:right="2224"/>
        <w:jc w:val="center"/>
      </w:pPr>
      <w:r>
        <w:rPr/>
        <w:t>BÖLÜM I</w:t>
      </w:r>
    </w:p>
    <w:p>
      <w:pPr>
        <w:pStyle w:val="BodyText"/>
        <w:spacing w:before="9"/>
        <w:rPr>
          <w:sz w:val="26"/>
        </w:rPr>
      </w:pPr>
    </w:p>
    <w:p>
      <w:pPr>
        <w:pStyle w:val="Heading1"/>
        <w:ind w:left="2204"/>
      </w:pPr>
      <w:r>
        <w:rPr/>
        <w:t>Genel Hükümler</w:t>
      </w:r>
    </w:p>
    <w:p>
      <w:pPr>
        <w:pStyle w:val="BodyText"/>
        <w:rPr>
          <w:b/>
          <w:sz w:val="22"/>
        </w:rPr>
      </w:pPr>
    </w:p>
    <w:p>
      <w:pPr>
        <w:pStyle w:val="BodyText"/>
        <w:spacing w:before="8"/>
        <w:rPr>
          <w:b/>
          <w:sz w:val="27"/>
        </w:rPr>
      </w:pPr>
    </w:p>
    <w:p>
      <w:pPr>
        <w:pStyle w:val="BodyText"/>
        <w:spacing w:line="276" w:lineRule="auto"/>
        <w:ind w:left="5035" w:right="5053"/>
        <w:jc w:val="center"/>
      </w:pPr>
      <w:r>
        <w:rPr/>
        <w:t>Madde 1</w:t>
      </w:r>
    </w:p>
    <w:p>
      <w:pPr>
        <w:pStyle w:val="BodyText"/>
        <w:rPr>
          <w:sz w:val="22"/>
        </w:rPr>
      </w:pPr>
    </w:p>
    <w:p>
      <w:pPr>
        <w:pStyle w:val="BodyText"/>
        <w:spacing w:before="3"/>
        <w:rPr>
          <w:sz w:val="24"/>
        </w:rPr>
      </w:pPr>
    </w:p>
    <w:p>
      <w:pPr>
        <w:pStyle w:val="Heading1"/>
      </w:pPr>
      <w:r>
        <w:rPr/>
        <w:t>Konu ve hedefler</w:t>
      </w:r>
    </w:p>
    <w:p>
      <w:pPr>
        <w:pStyle w:val="BodyText"/>
        <w:rPr>
          <w:b/>
          <w:sz w:val="22"/>
        </w:rPr>
      </w:pPr>
    </w:p>
    <w:p>
      <w:pPr>
        <w:pStyle w:val="BodyText"/>
        <w:spacing w:before="11"/>
        <w:rPr>
          <w:b/>
          <w:sz w:val="27"/>
        </w:rPr>
      </w:pPr>
    </w:p>
    <w:p>
      <w:pPr>
        <w:pStyle w:val="ListParagraph"/>
        <w:numPr>
          <w:ilvl w:val="0"/>
          <w:numId w:val="1"/>
        </w:numPr>
        <w:tabs>
          <w:tab w:pos="979" w:val="left" w:leader="none"/>
        </w:tabs>
        <w:spacing w:line="276" w:lineRule="auto" w:before="0" w:after="0"/>
        <w:ind w:left="726" w:right="704" w:firstLine="0"/>
        <w:jc w:val="left"/>
        <w:rPr>
          <w:sz w:val="20"/>
        </w:rPr>
      </w:pPr>
      <w:r>
        <w:rPr>
          <w:sz w:val="20"/>
        </w:rPr>
        <w:t>Bu Tüzük’te gerçek kişilerin kişisel verilerin işlenmesiyle ilgili olarak korunmasına ilişkin kurallar ve kişisel verilerin serbest dolaşımına ilişkin kurallar</w:t>
      </w:r>
      <w:r>
        <w:rPr>
          <w:spacing w:val="-3"/>
          <w:sz w:val="20"/>
        </w:rPr>
        <w:t> </w:t>
      </w:r>
      <w:r>
        <w:rPr>
          <w:sz w:val="20"/>
        </w:rPr>
        <w:t>belirtilir.</w:t>
      </w:r>
    </w:p>
    <w:p>
      <w:pPr>
        <w:pStyle w:val="BodyText"/>
        <w:rPr>
          <w:sz w:val="22"/>
        </w:rPr>
      </w:pPr>
    </w:p>
    <w:p>
      <w:pPr>
        <w:pStyle w:val="BodyText"/>
        <w:spacing w:before="3"/>
        <w:rPr>
          <w:sz w:val="24"/>
        </w:rPr>
      </w:pPr>
    </w:p>
    <w:p>
      <w:pPr>
        <w:pStyle w:val="ListParagraph"/>
        <w:numPr>
          <w:ilvl w:val="0"/>
          <w:numId w:val="1"/>
        </w:numPr>
        <w:tabs>
          <w:tab w:pos="958" w:val="left" w:leader="none"/>
        </w:tabs>
        <w:spacing w:line="276" w:lineRule="auto" w:before="0" w:after="0"/>
        <w:ind w:left="726" w:right="698" w:firstLine="0"/>
        <w:jc w:val="left"/>
        <w:rPr>
          <w:sz w:val="20"/>
        </w:rPr>
      </w:pPr>
      <w:r>
        <w:rPr>
          <w:sz w:val="20"/>
        </w:rPr>
        <w:t>Bu Tüzük’te gerçek kişilerin temel hakları ve özgürlükleri ve özellikle, kişisel verilerin korunması hakkı korunur.</w:t>
      </w:r>
    </w:p>
    <w:p>
      <w:pPr>
        <w:pStyle w:val="BodyText"/>
        <w:rPr>
          <w:sz w:val="22"/>
        </w:rPr>
      </w:pPr>
    </w:p>
    <w:p>
      <w:pPr>
        <w:pStyle w:val="BodyText"/>
        <w:spacing w:before="1"/>
        <w:rPr>
          <w:sz w:val="24"/>
        </w:rPr>
      </w:pPr>
    </w:p>
    <w:p>
      <w:pPr>
        <w:pStyle w:val="ListParagraph"/>
        <w:numPr>
          <w:ilvl w:val="0"/>
          <w:numId w:val="1"/>
        </w:numPr>
        <w:tabs>
          <w:tab w:pos="989" w:val="left" w:leader="none"/>
        </w:tabs>
        <w:spacing w:line="276" w:lineRule="auto" w:before="0" w:after="0"/>
        <w:ind w:left="726" w:right="702" w:firstLine="0"/>
        <w:jc w:val="left"/>
        <w:rPr>
          <w:sz w:val="20"/>
        </w:rPr>
      </w:pPr>
      <w:r>
        <w:rPr>
          <w:sz w:val="20"/>
        </w:rPr>
        <w:t>Kişisel verilerin Birlik içerisinde serbest dolaşımı, gerçek kişilerin kişisel verilerin işlenmesiyle ilgili olarak korunması ile bağlantılı sebeplerle ne kısıtlanır ne de</w:t>
      </w:r>
      <w:r>
        <w:rPr>
          <w:spacing w:val="-7"/>
          <w:sz w:val="20"/>
        </w:rPr>
        <w:t> </w:t>
      </w:r>
      <w:r>
        <w:rPr>
          <w:sz w:val="20"/>
        </w:rPr>
        <w:t>yasaklanır.</w:t>
      </w:r>
    </w:p>
    <w:p>
      <w:pPr>
        <w:pStyle w:val="BodyText"/>
        <w:rPr>
          <w:sz w:val="22"/>
        </w:rPr>
      </w:pPr>
    </w:p>
    <w:p>
      <w:pPr>
        <w:pStyle w:val="BodyText"/>
        <w:rPr>
          <w:sz w:val="22"/>
        </w:rPr>
      </w:pPr>
    </w:p>
    <w:p>
      <w:pPr>
        <w:pStyle w:val="BodyText"/>
        <w:spacing w:before="9"/>
        <w:rPr>
          <w:sz w:val="25"/>
        </w:rPr>
      </w:pPr>
    </w:p>
    <w:p>
      <w:pPr>
        <w:pStyle w:val="BodyText"/>
        <w:spacing w:line="276" w:lineRule="auto"/>
        <w:ind w:left="5035" w:right="5053"/>
        <w:jc w:val="center"/>
      </w:pPr>
      <w:r>
        <w:rPr/>
        <w:t>Madde 2</w:t>
      </w:r>
    </w:p>
    <w:p>
      <w:pPr>
        <w:pStyle w:val="BodyText"/>
        <w:rPr>
          <w:sz w:val="22"/>
        </w:rPr>
      </w:pPr>
    </w:p>
    <w:p>
      <w:pPr>
        <w:pStyle w:val="BodyText"/>
        <w:spacing w:before="3"/>
        <w:rPr>
          <w:sz w:val="24"/>
        </w:rPr>
      </w:pPr>
    </w:p>
    <w:p>
      <w:pPr>
        <w:pStyle w:val="Heading1"/>
        <w:spacing w:line="276" w:lineRule="auto"/>
        <w:ind w:left="4968" w:right="4989" w:firstLine="2"/>
      </w:pPr>
      <w:r>
        <w:rPr/>
        <w:t>Maddi </w:t>
      </w:r>
      <w:r>
        <w:rPr>
          <w:w w:val="95"/>
        </w:rPr>
        <w:t>kapsam</w:t>
      </w:r>
    </w:p>
    <w:p>
      <w:pPr>
        <w:pStyle w:val="BodyText"/>
        <w:rPr>
          <w:b/>
          <w:sz w:val="22"/>
        </w:rPr>
      </w:pPr>
    </w:p>
    <w:p>
      <w:pPr>
        <w:pStyle w:val="BodyText"/>
        <w:spacing w:before="11"/>
        <w:rPr>
          <w:b/>
          <w:sz w:val="24"/>
        </w:rPr>
      </w:pPr>
    </w:p>
    <w:p>
      <w:pPr>
        <w:pStyle w:val="ListParagraph"/>
        <w:numPr>
          <w:ilvl w:val="0"/>
          <w:numId w:val="2"/>
        </w:numPr>
        <w:tabs>
          <w:tab w:pos="970" w:val="left" w:leader="none"/>
        </w:tabs>
        <w:spacing w:line="276" w:lineRule="auto" w:before="0" w:after="0"/>
        <w:ind w:left="726" w:right="694" w:firstLine="0"/>
        <w:jc w:val="both"/>
        <w:rPr>
          <w:sz w:val="20"/>
        </w:rPr>
      </w:pPr>
      <w:r>
        <w:rPr>
          <w:sz w:val="20"/>
        </w:rPr>
        <w:t>Bu Tüzük, kişisel verilerin tamamen ya da kısmen otomatik araçlarla işlenmesine ve kişisel verilerin otomatik araçlar haricinde bir dosyalama sisteminin parçasını oluşturan veya bir dosyalama sisteminin parçasını oluşturması amaçlanan araçlarla işlenmesine</w:t>
      </w:r>
      <w:r>
        <w:rPr>
          <w:spacing w:val="-8"/>
          <w:sz w:val="20"/>
        </w:rPr>
        <w:t> </w:t>
      </w:r>
      <w:r>
        <w:rPr>
          <w:sz w:val="20"/>
        </w:rPr>
        <w:t>uygulanır.</w:t>
      </w:r>
    </w:p>
    <w:p>
      <w:pPr>
        <w:pStyle w:val="BodyText"/>
        <w:spacing w:before="10"/>
        <w:rPr>
          <w:sz w:val="23"/>
        </w:rPr>
      </w:pPr>
    </w:p>
    <w:p>
      <w:pPr>
        <w:pStyle w:val="ListParagraph"/>
        <w:numPr>
          <w:ilvl w:val="0"/>
          <w:numId w:val="2"/>
        </w:numPr>
        <w:tabs>
          <w:tab w:pos="948" w:val="left" w:leader="none"/>
        </w:tabs>
        <w:spacing w:line="240" w:lineRule="auto" w:before="0" w:after="0"/>
        <w:ind w:left="947" w:right="0" w:hanging="221"/>
        <w:jc w:val="left"/>
        <w:rPr>
          <w:sz w:val="20"/>
        </w:rPr>
      </w:pPr>
      <w:r>
        <w:rPr>
          <w:sz w:val="20"/>
        </w:rPr>
        <w:t>Bu</w:t>
      </w:r>
      <w:r>
        <w:rPr>
          <w:spacing w:val="-2"/>
          <w:sz w:val="20"/>
        </w:rPr>
        <w:t> </w:t>
      </w:r>
      <w:r>
        <w:rPr>
          <w:sz w:val="20"/>
        </w:rPr>
        <w:t>Tüzük:</w:t>
      </w:r>
    </w:p>
    <w:p>
      <w:pPr>
        <w:pStyle w:val="BodyText"/>
        <w:spacing w:before="10"/>
        <w:rPr>
          <w:sz w:val="25"/>
        </w:rPr>
      </w:pPr>
    </w:p>
    <w:p>
      <w:pPr>
        <w:pStyle w:val="ListParagraph"/>
        <w:numPr>
          <w:ilvl w:val="0"/>
          <w:numId w:val="3"/>
        </w:numPr>
        <w:tabs>
          <w:tab w:pos="1083" w:val="left" w:leader="none"/>
        </w:tabs>
        <w:spacing w:line="240" w:lineRule="auto" w:before="1" w:after="0"/>
        <w:ind w:left="726" w:right="0" w:firstLine="0"/>
        <w:jc w:val="left"/>
        <w:rPr>
          <w:sz w:val="20"/>
        </w:rPr>
      </w:pPr>
      <w:r>
        <w:rPr>
          <w:sz w:val="20"/>
        </w:rPr>
        <w:t>Birlik hukuku kapsamına girmeyen bir faaliyet</w:t>
      </w:r>
      <w:r>
        <w:rPr>
          <w:spacing w:val="-4"/>
          <w:sz w:val="20"/>
        </w:rPr>
        <w:t> </w:t>
      </w:r>
      <w:r>
        <w:rPr>
          <w:sz w:val="20"/>
        </w:rPr>
        <w:t>esnasında;</w:t>
      </w:r>
    </w:p>
    <w:p>
      <w:pPr>
        <w:pStyle w:val="BodyText"/>
        <w:spacing w:before="1"/>
        <w:rPr>
          <w:sz w:val="26"/>
        </w:rPr>
      </w:pPr>
    </w:p>
    <w:p>
      <w:pPr>
        <w:pStyle w:val="ListParagraph"/>
        <w:numPr>
          <w:ilvl w:val="0"/>
          <w:numId w:val="3"/>
        </w:numPr>
        <w:tabs>
          <w:tab w:pos="1540" w:val="left" w:leader="none"/>
          <w:tab w:pos="1541" w:val="left" w:leader="none"/>
          <w:tab w:pos="4420" w:val="left" w:leader="none"/>
        </w:tabs>
        <w:spacing w:line="276" w:lineRule="auto" w:before="0" w:after="0"/>
        <w:ind w:left="726" w:right="1112" w:firstLine="0"/>
        <w:jc w:val="left"/>
        <w:rPr>
          <w:sz w:val="20"/>
        </w:rPr>
      </w:pPr>
      <w:r>
        <w:rPr>
          <w:sz w:val="20"/>
        </w:rPr>
        <w:t>üye devletler tarafından Avrupa Birliği Antlaşması’nın V. Başlığının 2. Bölümü kapsamına giren faaliyetler</w:t>
      </w:r>
      <w:r>
        <w:rPr>
          <w:spacing w:val="-11"/>
          <w:sz w:val="20"/>
        </w:rPr>
        <w:t> </w:t>
      </w:r>
      <w:r>
        <w:rPr>
          <w:sz w:val="20"/>
        </w:rPr>
        <w:t>gerçekleştirilirken;</w:t>
      </w:r>
      <w:r>
        <w:rPr>
          <w:spacing w:val="-7"/>
          <w:sz w:val="20"/>
        </w:rPr>
        <w:t> </w:t>
      </w:r>
      <w:r>
        <w:rPr>
          <w:sz w:val="20"/>
        </w:rPr>
        <w:t>(c)</w:t>
        <w:tab/>
        <w:t>tamamen kişisel veya ev faaliyeti esnasında bir gerçek kişi tarafından;</w:t>
      </w:r>
    </w:p>
    <w:p>
      <w:pPr>
        <w:pStyle w:val="BodyText"/>
        <w:spacing w:before="6"/>
        <w:rPr>
          <w:sz w:val="23"/>
        </w:rPr>
      </w:pPr>
    </w:p>
    <w:p>
      <w:pPr>
        <w:pStyle w:val="BodyText"/>
        <w:spacing w:line="276" w:lineRule="auto"/>
        <w:ind w:left="1022" w:right="688" w:hanging="296"/>
        <w:jc w:val="both"/>
      </w:pPr>
      <w:r>
        <w:rPr/>
        <w:t>(d) kamu güvenliğine yönelik tehditlere karşı güvence sağlanması ve bu tehditlerin önlenmesi de dâhil olmak üzere suçların önlenmesi, soruşturulması, tespiti veya kovuşturulması ya da cezaların infaz edilmesiyle ilgili olarak yetkin makamlar tarafından kişisel verilerin işlenmesine uygulanmaz.</w:t>
      </w:r>
    </w:p>
    <w:p>
      <w:pPr>
        <w:pStyle w:val="BodyText"/>
        <w:rPr>
          <w:sz w:val="23"/>
        </w:rPr>
      </w:pPr>
    </w:p>
    <w:p>
      <w:pPr>
        <w:pStyle w:val="ListParagraph"/>
        <w:numPr>
          <w:ilvl w:val="0"/>
          <w:numId w:val="2"/>
        </w:numPr>
        <w:tabs>
          <w:tab w:pos="1140" w:val="left" w:leader="none"/>
        </w:tabs>
        <w:spacing w:line="276" w:lineRule="auto" w:before="0" w:after="0"/>
        <w:ind w:left="726" w:right="691" w:firstLine="0"/>
        <w:jc w:val="both"/>
        <w:rPr>
          <w:sz w:val="20"/>
        </w:rPr>
      </w:pPr>
      <w:r>
        <w:rPr>
          <w:sz w:val="20"/>
        </w:rPr>
        <w:t>Birlik kurumları, organları, ofisleri ve ajansları tarafından kişisel verilerin işlenmesine yönelik olarak, (AT) 45/2001 sayılı Tüzük uygulanır. (AT) 45/2001 sayılı Tüzük ve kişisel verilerin bu şekilde işlenmesine uygulanan Birliğin diğer yasal belgeleri 98. madde uyarınca bu Tüzük’ün ilkeleri</w:t>
      </w:r>
      <w:r>
        <w:rPr>
          <w:spacing w:val="-16"/>
          <w:sz w:val="20"/>
        </w:rPr>
        <w:t> </w:t>
      </w:r>
      <w:r>
        <w:rPr>
          <w:sz w:val="20"/>
        </w:rPr>
        <w:t>ve</w:t>
      </w:r>
    </w:p>
    <w:p>
      <w:pPr>
        <w:spacing w:after="0" w:line="276" w:lineRule="auto"/>
        <w:jc w:val="both"/>
        <w:rPr>
          <w:sz w:val="20"/>
        </w:rPr>
        <w:sectPr>
          <w:headerReference w:type="default" r:id="rId5"/>
          <w:headerReference w:type="even" r:id="rId6"/>
          <w:type w:val="continuous"/>
          <w:pgSz w:w="11930" w:h="16850"/>
          <w:pgMar w:header="961" w:top="1240" w:bottom="0" w:left="620" w:right="600"/>
          <w:pgNumType w:start="1"/>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before="66"/>
        <w:ind w:left="726"/>
      </w:pPr>
      <w:r>
        <w:rPr/>
        <w:t>kurallarına uyarlanır.</w:t>
      </w:r>
    </w:p>
    <w:p>
      <w:pPr>
        <w:pStyle w:val="BodyText"/>
        <w:rPr>
          <w:sz w:val="22"/>
        </w:rPr>
      </w:pPr>
    </w:p>
    <w:p>
      <w:pPr>
        <w:pStyle w:val="BodyText"/>
        <w:spacing w:before="1"/>
        <w:rPr>
          <w:sz w:val="27"/>
        </w:rPr>
      </w:pPr>
    </w:p>
    <w:p>
      <w:pPr>
        <w:pStyle w:val="ListParagraph"/>
        <w:numPr>
          <w:ilvl w:val="0"/>
          <w:numId w:val="2"/>
        </w:numPr>
        <w:tabs>
          <w:tab w:pos="1139" w:val="left" w:leader="none"/>
          <w:tab w:pos="1140" w:val="left" w:leader="none"/>
        </w:tabs>
        <w:spacing w:line="276" w:lineRule="auto" w:before="1" w:after="0"/>
        <w:ind w:left="726" w:right="700" w:firstLine="0"/>
        <w:jc w:val="left"/>
        <w:rPr>
          <w:sz w:val="20"/>
        </w:rPr>
      </w:pPr>
      <w:r>
        <w:rPr>
          <w:sz w:val="20"/>
        </w:rPr>
        <w:t>Bu Tüzük ile 2000/31/AT sayılı Direktif’in uygulanmasına ve özellikle de aynı Direktif’in ara hizmet sağlayıcıların yükümlülüklerine ilişkin 12 ila 15. maddelerinde yer alan kurallara halel</w:t>
      </w:r>
      <w:r>
        <w:rPr>
          <w:spacing w:val="-21"/>
          <w:sz w:val="20"/>
        </w:rPr>
        <w:t> </w:t>
      </w:r>
      <w:r>
        <w:rPr>
          <w:sz w:val="20"/>
        </w:rPr>
        <w:t>gelmez.</w:t>
      </w:r>
    </w:p>
    <w:p>
      <w:pPr>
        <w:pStyle w:val="BodyText"/>
        <w:rPr>
          <w:sz w:val="22"/>
        </w:rPr>
      </w:pPr>
    </w:p>
    <w:p>
      <w:pPr>
        <w:pStyle w:val="BodyText"/>
        <w:rPr>
          <w:sz w:val="24"/>
        </w:rPr>
      </w:pPr>
    </w:p>
    <w:p>
      <w:pPr>
        <w:pStyle w:val="BodyText"/>
        <w:spacing w:line="276" w:lineRule="auto"/>
        <w:ind w:left="5035" w:right="5053"/>
        <w:jc w:val="center"/>
      </w:pPr>
      <w:r>
        <w:rPr/>
        <w:t>Madde 3</w:t>
      </w:r>
    </w:p>
    <w:p>
      <w:pPr>
        <w:pStyle w:val="BodyText"/>
        <w:rPr>
          <w:sz w:val="22"/>
        </w:rPr>
      </w:pPr>
    </w:p>
    <w:p>
      <w:pPr>
        <w:pStyle w:val="BodyText"/>
        <w:spacing w:before="3"/>
        <w:rPr>
          <w:sz w:val="24"/>
        </w:rPr>
      </w:pPr>
    </w:p>
    <w:p>
      <w:pPr>
        <w:pStyle w:val="Heading1"/>
        <w:spacing w:line="276" w:lineRule="auto"/>
        <w:ind w:left="4668" w:right="4690"/>
      </w:pPr>
      <w:r>
        <w:rPr/>
        <w:t>Bölgesel kapsam</w:t>
      </w:r>
    </w:p>
    <w:p>
      <w:pPr>
        <w:pStyle w:val="BodyText"/>
        <w:rPr>
          <w:b/>
          <w:sz w:val="22"/>
        </w:rPr>
      </w:pPr>
    </w:p>
    <w:p>
      <w:pPr>
        <w:pStyle w:val="BodyText"/>
        <w:spacing w:before="1"/>
        <w:rPr>
          <w:b/>
          <w:sz w:val="25"/>
        </w:rPr>
      </w:pPr>
    </w:p>
    <w:p>
      <w:pPr>
        <w:pStyle w:val="ListParagraph"/>
        <w:numPr>
          <w:ilvl w:val="0"/>
          <w:numId w:val="4"/>
        </w:numPr>
        <w:tabs>
          <w:tab w:pos="1027" w:val="left" w:leader="none"/>
        </w:tabs>
        <w:spacing w:line="276" w:lineRule="auto" w:before="1" w:after="0"/>
        <w:ind w:left="726" w:right="701" w:firstLine="0"/>
        <w:jc w:val="both"/>
        <w:rPr>
          <w:sz w:val="20"/>
        </w:rPr>
      </w:pPr>
      <w:r>
        <w:rPr>
          <w:sz w:val="20"/>
        </w:rPr>
        <w:t>Bu Tüzük, işleme faaliyeti Birlik içerisinde gerçekleşip gerçekleşmediğine bakılmaksızın, Birlik içerisindeki bir kontrolör veya işleyicinin işletmesinin faaliyetleri bağlamında kişisel verilerin işlenmesine uygulanır.</w:t>
      </w:r>
    </w:p>
    <w:p>
      <w:pPr>
        <w:pStyle w:val="BodyText"/>
        <w:rPr>
          <w:sz w:val="22"/>
        </w:rPr>
      </w:pPr>
    </w:p>
    <w:p>
      <w:pPr>
        <w:pStyle w:val="BodyText"/>
        <w:spacing w:before="4"/>
        <w:rPr>
          <w:sz w:val="28"/>
        </w:rPr>
      </w:pPr>
    </w:p>
    <w:p>
      <w:pPr>
        <w:pStyle w:val="ListParagraph"/>
        <w:numPr>
          <w:ilvl w:val="0"/>
          <w:numId w:val="4"/>
        </w:numPr>
        <w:tabs>
          <w:tab w:pos="1139" w:val="left" w:leader="none"/>
          <w:tab w:pos="1140" w:val="left" w:leader="none"/>
        </w:tabs>
        <w:spacing w:line="276" w:lineRule="auto" w:before="0" w:after="0"/>
        <w:ind w:left="726" w:right="371" w:firstLine="0"/>
        <w:jc w:val="left"/>
        <w:rPr>
          <w:sz w:val="20"/>
        </w:rPr>
      </w:pPr>
      <w:r>
        <w:rPr>
          <w:sz w:val="20"/>
        </w:rPr>
        <w:t>Bu Tüzük, işleme faaliyetlerinin aşağıdaki hususlarla alakalı olması durumunda, Birlik içerisinde bulunan veri sahiplerinin kişisel verilerinin Birlik içerisinde kurulu olmayan bir kontrolör veya işleyici tarafından işlenmesine</w:t>
      </w:r>
      <w:r>
        <w:rPr>
          <w:spacing w:val="-1"/>
          <w:sz w:val="20"/>
        </w:rPr>
        <w:t> </w:t>
      </w:r>
      <w:r>
        <w:rPr>
          <w:sz w:val="20"/>
        </w:rPr>
        <w:t>uygulanır:</w:t>
      </w:r>
    </w:p>
    <w:p>
      <w:pPr>
        <w:pStyle w:val="BodyText"/>
        <w:rPr>
          <w:sz w:val="22"/>
        </w:rPr>
      </w:pPr>
    </w:p>
    <w:p>
      <w:pPr>
        <w:pStyle w:val="BodyText"/>
        <w:spacing w:before="5"/>
        <w:rPr>
          <w:sz w:val="24"/>
        </w:rPr>
      </w:pPr>
    </w:p>
    <w:p>
      <w:pPr>
        <w:pStyle w:val="ListParagraph"/>
        <w:numPr>
          <w:ilvl w:val="0"/>
          <w:numId w:val="5"/>
        </w:numPr>
        <w:tabs>
          <w:tab w:pos="1023" w:val="left" w:leader="none"/>
        </w:tabs>
        <w:spacing w:line="276" w:lineRule="auto" w:before="0" w:after="0"/>
        <w:ind w:left="1022" w:right="1175" w:hanging="296"/>
        <w:jc w:val="left"/>
        <w:rPr>
          <w:sz w:val="20"/>
        </w:rPr>
      </w:pPr>
      <w:r>
        <w:rPr>
          <w:sz w:val="20"/>
        </w:rPr>
        <w:t>Veri sahibine bir ödeme yapılmasına gerek olup olmadığına bakılmaksızın, Birlik içerisindeki söz konusu veri sahiplerine mal ya da hizmetlerin sunulması</w:t>
      </w:r>
      <w:r>
        <w:rPr>
          <w:spacing w:val="-8"/>
          <w:sz w:val="20"/>
        </w:rPr>
        <w:t> </w:t>
      </w:r>
      <w:r>
        <w:rPr>
          <w:sz w:val="20"/>
        </w:rPr>
        <w:t>veya</w:t>
      </w:r>
    </w:p>
    <w:p>
      <w:pPr>
        <w:pStyle w:val="BodyText"/>
        <w:spacing w:before="4"/>
        <w:rPr>
          <w:sz w:val="24"/>
        </w:rPr>
      </w:pPr>
    </w:p>
    <w:p>
      <w:pPr>
        <w:pStyle w:val="ListParagraph"/>
        <w:numPr>
          <w:ilvl w:val="0"/>
          <w:numId w:val="5"/>
        </w:numPr>
        <w:tabs>
          <w:tab w:pos="1027" w:val="left" w:leader="none"/>
        </w:tabs>
        <w:spacing w:line="240" w:lineRule="auto" w:before="0" w:after="0"/>
        <w:ind w:left="1026" w:right="0" w:hanging="300"/>
        <w:jc w:val="left"/>
        <w:rPr>
          <w:sz w:val="20"/>
        </w:rPr>
      </w:pPr>
      <w:r>
        <w:rPr>
          <w:sz w:val="20"/>
        </w:rPr>
        <w:t>Davranışları birlik içerisinde gerçekleştiği ölçüde, davranışlarının</w:t>
      </w:r>
      <w:r>
        <w:rPr>
          <w:spacing w:val="0"/>
          <w:sz w:val="20"/>
        </w:rPr>
        <w:t> </w:t>
      </w:r>
      <w:r>
        <w:rPr>
          <w:sz w:val="20"/>
        </w:rPr>
        <w:t>izlenmesi.</w:t>
      </w:r>
    </w:p>
    <w:p>
      <w:pPr>
        <w:pStyle w:val="BodyText"/>
        <w:rPr>
          <w:sz w:val="22"/>
        </w:rPr>
      </w:pPr>
    </w:p>
    <w:p>
      <w:pPr>
        <w:pStyle w:val="BodyText"/>
        <w:spacing w:before="8"/>
        <w:rPr>
          <w:sz w:val="27"/>
        </w:rPr>
      </w:pPr>
    </w:p>
    <w:p>
      <w:pPr>
        <w:pStyle w:val="ListParagraph"/>
        <w:numPr>
          <w:ilvl w:val="0"/>
          <w:numId w:val="4"/>
        </w:numPr>
        <w:tabs>
          <w:tab w:pos="948" w:val="left" w:leader="none"/>
        </w:tabs>
        <w:spacing w:line="276" w:lineRule="auto" w:before="0" w:after="0"/>
        <w:ind w:left="726" w:right="1209" w:firstLine="0"/>
        <w:jc w:val="left"/>
        <w:rPr>
          <w:sz w:val="20"/>
        </w:rPr>
      </w:pPr>
      <w:r>
        <w:rPr>
          <w:sz w:val="20"/>
        </w:rPr>
        <w:t>Bu Tüzük, Birlik içerisinde değil, ancak bir üye devletin hukukunun uluslararası kamu hukuku vasıtasıyla uygulandığı bir yerde kurulu bulunan bir kontrolör tarafından kişisel verilerin işlenmesine uygulanır.</w:t>
      </w:r>
    </w:p>
    <w:p>
      <w:pPr>
        <w:pStyle w:val="BodyText"/>
        <w:spacing w:before="1"/>
        <w:rPr>
          <w:sz w:val="24"/>
        </w:rPr>
      </w:pPr>
    </w:p>
    <w:p>
      <w:pPr>
        <w:pStyle w:val="BodyText"/>
        <w:spacing w:line="276" w:lineRule="auto"/>
        <w:ind w:left="5035" w:right="5053"/>
        <w:jc w:val="center"/>
      </w:pPr>
      <w:r>
        <w:rPr/>
        <w:t>Madde 4</w:t>
      </w:r>
    </w:p>
    <w:p>
      <w:pPr>
        <w:pStyle w:val="BodyText"/>
        <w:spacing w:before="11"/>
        <w:rPr>
          <w:sz w:val="22"/>
        </w:rPr>
      </w:pPr>
    </w:p>
    <w:p>
      <w:pPr>
        <w:pStyle w:val="Heading1"/>
        <w:ind w:right="2221"/>
      </w:pPr>
      <w:r>
        <w:rPr/>
        <w:t>Tanımlar</w:t>
      </w:r>
    </w:p>
    <w:p>
      <w:pPr>
        <w:pStyle w:val="BodyText"/>
        <w:rPr>
          <w:b/>
          <w:sz w:val="22"/>
        </w:rPr>
      </w:pPr>
    </w:p>
    <w:p>
      <w:pPr>
        <w:pStyle w:val="BodyText"/>
        <w:spacing w:before="8"/>
        <w:rPr>
          <w:b/>
          <w:sz w:val="28"/>
        </w:rPr>
      </w:pPr>
    </w:p>
    <w:p>
      <w:pPr>
        <w:pStyle w:val="BodyText"/>
        <w:spacing w:before="1"/>
        <w:ind w:left="726"/>
      </w:pPr>
      <w:r>
        <w:rPr/>
        <w:t>Bu Tüzük’ün amaçları doğrultusunda, aşağıdaki tanımlar geçerlidir:</w:t>
      </w:r>
    </w:p>
    <w:p>
      <w:pPr>
        <w:pStyle w:val="BodyText"/>
        <w:rPr>
          <w:sz w:val="22"/>
        </w:rPr>
      </w:pPr>
    </w:p>
    <w:p>
      <w:pPr>
        <w:pStyle w:val="BodyText"/>
        <w:spacing w:before="8"/>
        <w:rPr>
          <w:sz w:val="27"/>
        </w:rPr>
      </w:pPr>
    </w:p>
    <w:p>
      <w:pPr>
        <w:pStyle w:val="ListParagraph"/>
        <w:numPr>
          <w:ilvl w:val="1"/>
          <w:numId w:val="4"/>
        </w:numPr>
        <w:tabs>
          <w:tab w:pos="1133" w:val="left" w:leader="none"/>
        </w:tabs>
        <w:spacing w:line="276" w:lineRule="auto" w:before="0" w:after="0"/>
        <w:ind w:left="1132" w:right="688" w:hanging="300"/>
        <w:jc w:val="both"/>
        <w:rPr>
          <w:sz w:val="20"/>
        </w:rPr>
      </w:pPr>
      <w:r>
        <w:rPr>
          <w:sz w:val="20"/>
        </w:rPr>
        <w:t>‘kişisel veri’ tanımlanmış veya tanımlanabilir bir gerçek kişiye ilişkin her türlü bilgidir ('veri sahibi'); tanımlanmış bir gerçek kişi özellikle bir isim, kimlik numarası, konum verileri, çevrim içi tanımlayıcı ya da söz konusu gerçek kişinin fiziksel, fizyolojik, genetik, ruhsal, ekonomik, kültürel veya toplumsal kimliğine özgü bir ya da daha fazla sayıda faktöre atıfta bulunularak doğrudan veya dolaylı olarak tanımlanabilen bir</w:t>
      </w:r>
      <w:r>
        <w:rPr>
          <w:spacing w:val="-1"/>
          <w:sz w:val="20"/>
        </w:rPr>
        <w:t> </w:t>
      </w:r>
      <w:r>
        <w:rPr>
          <w:sz w:val="20"/>
        </w:rPr>
        <w:t>kişidir;</w:t>
      </w:r>
    </w:p>
    <w:p>
      <w:pPr>
        <w:pStyle w:val="BodyText"/>
        <w:rPr>
          <w:sz w:val="22"/>
        </w:rPr>
      </w:pPr>
    </w:p>
    <w:p>
      <w:pPr>
        <w:pStyle w:val="BodyText"/>
        <w:spacing w:before="4"/>
        <w:rPr>
          <w:sz w:val="24"/>
        </w:rPr>
      </w:pPr>
    </w:p>
    <w:p>
      <w:pPr>
        <w:pStyle w:val="ListParagraph"/>
        <w:numPr>
          <w:ilvl w:val="1"/>
          <w:numId w:val="4"/>
        </w:numPr>
        <w:tabs>
          <w:tab w:pos="1133" w:val="left" w:leader="none"/>
        </w:tabs>
        <w:spacing w:line="276" w:lineRule="auto" w:before="0" w:after="0"/>
        <w:ind w:left="1132" w:right="692" w:hanging="300"/>
        <w:jc w:val="both"/>
        <w:rPr>
          <w:sz w:val="20"/>
        </w:rPr>
      </w:pPr>
      <w:r>
        <w:rPr>
          <w:sz w:val="20"/>
        </w:rPr>
        <w:t>‘işleme faaliyeti’, otomatik yöntemlerle olsun veya olmasın, kişisel veri veya kişisel veri setleri üzerinde gerçekleştirilen toplama, kaydetme, düzenleme, yapılandırma, saklama, uyarlama veya değiştirme, elde etme, danışma, kullanma, iletim yoluyla açıklama, yayma veya kullanıma sunma, uyumlaştırma ya da birleştirme, kısıtlama, silme veya imha gibi herhangi bir işlem veya işlem dizisidir;</w:t>
      </w:r>
    </w:p>
    <w:p>
      <w:pPr>
        <w:spacing w:after="0" w:line="276"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1"/>
          <w:numId w:val="4"/>
        </w:numPr>
        <w:tabs>
          <w:tab w:pos="1212" w:val="left" w:leader="none"/>
        </w:tabs>
        <w:spacing w:line="276" w:lineRule="auto" w:before="66" w:after="0"/>
        <w:ind w:left="1132" w:right="698" w:hanging="300"/>
        <w:jc w:val="both"/>
        <w:rPr>
          <w:sz w:val="20"/>
        </w:rPr>
      </w:pPr>
      <w:r>
        <w:rPr>
          <w:sz w:val="20"/>
        </w:rPr>
        <w:t>‘işleme kısıtlaması’ saklanan kişisel verilerin gelecekte işlenmelerinin sınırlanması amacı ile işaretlenmesidir;</w:t>
      </w:r>
    </w:p>
    <w:p>
      <w:pPr>
        <w:pStyle w:val="BodyText"/>
        <w:rPr>
          <w:sz w:val="22"/>
        </w:rPr>
      </w:pPr>
    </w:p>
    <w:p>
      <w:pPr>
        <w:pStyle w:val="BodyText"/>
        <w:spacing w:before="8"/>
        <w:rPr>
          <w:sz w:val="24"/>
        </w:rPr>
      </w:pPr>
    </w:p>
    <w:p>
      <w:pPr>
        <w:pStyle w:val="ListParagraph"/>
        <w:numPr>
          <w:ilvl w:val="1"/>
          <w:numId w:val="4"/>
        </w:numPr>
        <w:tabs>
          <w:tab w:pos="1147" w:val="left" w:leader="none"/>
        </w:tabs>
        <w:spacing w:line="276" w:lineRule="auto" w:before="0" w:after="0"/>
        <w:ind w:left="1132" w:right="693" w:hanging="300"/>
        <w:jc w:val="both"/>
        <w:rPr>
          <w:sz w:val="20"/>
        </w:rPr>
      </w:pPr>
      <w:r>
        <w:rPr>
          <w:sz w:val="20"/>
        </w:rPr>
        <w:t>‘profil çıkarma’ bir gerçek kişinin işteki performansı, ekonomik durumu, sağlığı, kişisel tercihleri, ilgi alanları, güvenilirliği, davranışları, konumu veya hareketlerine ilişkin hususların analiz edilmesi veya tahmin edilmesi başta olmak üzere söz konusu gerçek kişiye ilişkin belirli kişisel özelliklerin değerlendirilmesi için kişisel verilerin kullanımını ihtiva eden her türlü otomatik kişisel veri işleme biçimidir;</w:t>
      </w:r>
    </w:p>
    <w:p>
      <w:pPr>
        <w:pStyle w:val="BodyText"/>
        <w:rPr>
          <w:sz w:val="22"/>
        </w:rPr>
      </w:pPr>
    </w:p>
    <w:p>
      <w:pPr>
        <w:pStyle w:val="BodyText"/>
        <w:spacing w:before="4"/>
        <w:rPr>
          <w:sz w:val="24"/>
        </w:rPr>
      </w:pPr>
    </w:p>
    <w:p>
      <w:pPr>
        <w:pStyle w:val="ListParagraph"/>
        <w:numPr>
          <w:ilvl w:val="1"/>
          <w:numId w:val="4"/>
        </w:numPr>
        <w:tabs>
          <w:tab w:pos="1255" w:val="left" w:leader="none"/>
        </w:tabs>
        <w:spacing w:line="276" w:lineRule="auto" w:before="0" w:after="0"/>
        <w:ind w:left="1132" w:right="688" w:hanging="300"/>
        <w:jc w:val="both"/>
        <w:rPr>
          <w:sz w:val="20"/>
        </w:rPr>
      </w:pPr>
      <w:r>
        <w:rPr>
          <w:sz w:val="20"/>
        </w:rPr>
        <w:t>‘takma ad kullanımı’ kişisel verilerin tanımlanmış veya tanımlanabilir bir gerçek kişiyle ilişkilendirilmemesinin sağlanması amacı ile ek bilgilerin ayrı tutulması ve teknik ve düzenlemeye ilişkin tedbirlere tabi tutulması koşuluyla, kişisel verilerin söz konusu ek bilgiler kullanılmaksızın spesifik bir veri sahibiyle artık ilişkilendirilemeyecek şekilde</w:t>
      </w:r>
      <w:r>
        <w:rPr>
          <w:spacing w:val="-3"/>
          <w:sz w:val="20"/>
        </w:rPr>
        <w:t> </w:t>
      </w:r>
      <w:r>
        <w:rPr>
          <w:sz w:val="20"/>
        </w:rPr>
        <w:t>işlenmesidir;</w:t>
      </w:r>
    </w:p>
    <w:p>
      <w:pPr>
        <w:pStyle w:val="BodyText"/>
        <w:rPr>
          <w:sz w:val="22"/>
        </w:rPr>
      </w:pPr>
    </w:p>
    <w:p>
      <w:pPr>
        <w:pStyle w:val="BodyText"/>
        <w:spacing w:before="7"/>
        <w:rPr>
          <w:sz w:val="24"/>
        </w:rPr>
      </w:pPr>
    </w:p>
    <w:p>
      <w:pPr>
        <w:pStyle w:val="ListParagraph"/>
        <w:numPr>
          <w:ilvl w:val="1"/>
          <w:numId w:val="4"/>
        </w:numPr>
        <w:tabs>
          <w:tab w:pos="1133" w:val="left" w:leader="none"/>
        </w:tabs>
        <w:spacing w:line="276" w:lineRule="auto" w:before="1" w:after="0"/>
        <w:ind w:left="1132" w:right="693" w:hanging="300"/>
        <w:jc w:val="both"/>
        <w:rPr>
          <w:sz w:val="20"/>
        </w:rPr>
      </w:pPr>
      <w:r>
        <w:rPr>
          <w:sz w:val="20"/>
        </w:rPr>
        <w:t>‘dosyalama sistemi’ işlevsel veya coğrafi bir temelde merkezi, ademi-merkezi veya dağınık olarak spesifik kriterlere göre erişilebilen yapılandırılmış herhangi bir kişisel veri</w:t>
      </w:r>
      <w:r>
        <w:rPr>
          <w:spacing w:val="-14"/>
          <w:sz w:val="20"/>
        </w:rPr>
        <w:t> </w:t>
      </w:r>
      <w:r>
        <w:rPr>
          <w:sz w:val="20"/>
        </w:rPr>
        <w:t>dizisidir;</w:t>
      </w:r>
    </w:p>
    <w:p>
      <w:pPr>
        <w:pStyle w:val="BodyText"/>
        <w:rPr>
          <w:sz w:val="22"/>
        </w:rPr>
      </w:pPr>
    </w:p>
    <w:p>
      <w:pPr>
        <w:pStyle w:val="BodyText"/>
        <w:rPr>
          <w:sz w:val="24"/>
        </w:rPr>
      </w:pPr>
    </w:p>
    <w:p>
      <w:pPr>
        <w:pStyle w:val="ListParagraph"/>
        <w:numPr>
          <w:ilvl w:val="1"/>
          <w:numId w:val="4"/>
        </w:numPr>
        <w:tabs>
          <w:tab w:pos="1133" w:val="left" w:leader="none"/>
        </w:tabs>
        <w:spacing w:line="276" w:lineRule="auto" w:before="0" w:after="0"/>
        <w:ind w:left="1132" w:right="690" w:hanging="300"/>
        <w:jc w:val="both"/>
        <w:rPr>
          <w:sz w:val="20"/>
        </w:rPr>
      </w:pPr>
      <w:r>
        <w:rPr>
          <w:sz w:val="20"/>
        </w:rPr>
        <w:t>‘kontrolör’ yalnız başına veya başkalarıyla birlikte kişisel verilerin işlenmesine ilişkin amaçlar ve yöntemleri belirleyen gerçek veya tüzel kişi, kamu kuruluşu, kurumu veya diğer herhangi bir organdır; söz konusu işleme amaçları ve yöntemlerinin Birlik ya da üye devlet hukukuna göre belirlenmesi durumunda, kontrolör veya kontrolörün belirlenmesine özgü kriterler Birlik ya da üye devlet hukukuna göre</w:t>
      </w:r>
      <w:r>
        <w:rPr>
          <w:spacing w:val="-2"/>
          <w:sz w:val="20"/>
        </w:rPr>
        <w:t> </w:t>
      </w:r>
      <w:r>
        <w:rPr>
          <w:sz w:val="20"/>
        </w:rPr>
        <w:t>belirlenebilir;</w:t>
      </w:r>
    </w:p>
    <w:p>
      <w:pPr>
        <w:pStyle w:val="BodyText"/>
        <w:rPr>
          <w:sz w:val="22"/>
        </w:rPr>
      </w:pPr>
    </w:p>
    <w:p>
      <w:pPr>
        <w:pStyle w:val="BodyText"/>
        <w:spacing w:before="4"/>
        <w:rPr>
          <w:sz w:val="24"/>
        </w:rPr>
      </w:pPr>
    </w:p>
    <w:p>
      <w:pPr>
        <w:pStyle w:val="ListParagraph"/>
        <w:numPr>
          <w:ilvl w:val="1"/>
          <w:numId w:val="4"/>
        </w:numPr>
        <w:tabs>
          <w:tab w:pos="1133" w:val="left" w:leader="none"/>
        </w:tabs>
        <w:spacing w:line="278" w:lineRule="auto" w:before="0" w:after="0"/>
        <w:ind w:left="1132" w:right="698" w:hanging="300"/>
        <w:jc w:val="both"/>
        <w:rPr>
          <w:sz w:val="20"/>
        </w:rPr>
      </w:pPr>
      <w:r>
        <w:rPr>
          <w:sz w:val="20"/>
        </w:rPr>
        <w:t>‘işleyici’ kontrolör adına kişisel verileri işleyen bir gerçek ya da tüzel kişi, kamu kuruluşu, kurumu veya diğer herhangi bir</w:t>
      </w:r>
      <w:r>
        <w:rPr>
          <w:spacing w:val="-1"/>
          <w:sz w:val="20"/>
        </w:rPr>
        <w:t> </w:t>
      </w:r>
      <w:r>
        <w:rPr>
          <w:sz w:val="20"/>
        </w:rPr>
        <w:t>organdır;</w:t>
      </w:r>
    </w:p>
    <w:p>
      <w:pPr>
        <w:pStyle w:val="BodyText"/>
        <w:rPr>
          <w:sz w:val="22"/>
        </w:rPr>
      </w:pPr>
    </w:p>
    <w:p>
      <w:pPr>
        <w:pStyle w:val="BodyText"/>
        <w:spacing w:before="3"/>
        <w:rPr>
          <w:sz w:val="24"/>
        </w:rPr>
      </w:pPr>
    </w:p>
    <w:p>
      <w:pPr>
        <w:pStyle w:val="ListParagraph"/>
        <w:numPr>
          <w:ilvl w:val="1"/>
          <w:numId w:val="4"/>
        </w:numPr>
        <w:tabs>
          <w:tab w:pos="1133" w:val="left" w:leader="none"/>
        </w:tabs>
        <w:spacing w:line="276" w:lineRule="auto" w:before="0" w:after="0"/>
        <w:ind w:left="1132" w:right="689" w:hanging="300"/>
        <w:jc w:val="both"/>
        <w:rPr>
          <w:sz w:val="20"/>
        </w:rPr>
      </w:pPr>
      <w:r>
        <w:rPr>
          <w:sz w:val="20"/>
        </w:rPr>
        <w:t>‘alıcı’, üçüncü bir kişi olsun veya olmasın, kişisel verilerin açıklandığı bir gerçek </w:t>
      </w:r>
      <w:r>
        <w:rPr>
          <w:spacing w:val="-3"/>
          <w:sz w:val="20"/>
        </w:rPr>
        <w:t>ya </w:t>
      </w:r>
      <w:r>
        <w:rPr>
          <w:sz w:val="20"/>
        </w:rPr>
        <w:t>da tüzel kişi, kamu kuruluşu, kurumu veya diğer herhangi bir organdır. Ancak, Birlik veya üye devlet hukuku uyarınca belirli bir sorgulama çerçevesinde kişisel verileri alabilen kamu kuruluşları alıcı olarak nitelendirilmez; bu verilerin söz konusu kamu kuruluşları tarafından işlenmesi işleme amaçlarına göre geçerli veri koruma kurallarına uygun olarak</w:t>
      </w:r>
      <w:r>
        <w:rPr>
          <w:spacing w:val="-5"/>
          <w:sz w:val="20"/>
        </w:rPr>
        <w:t> </w:t>
      </w:r>
      <w:r>
        <w:rPr>
          <w:sz w:val="20"/>
        </w:rPr>
        <w:t>yapılır;</w:t>
      </w:r>
    </w:p>
    <w:p>
      <w:pPr>
        <w:pStyle w:val="BodyText"/>
        <w:rPr>
          <w:sz w:val="22"/>
        </w:rPr>
      </w:pPr>
    </w:p>
    <w:p>
      <w:pPr>
        <w:pStyle w:val="BodyText"/>
        <w:spacing w:before="7"/>
        <w:rPr>
          <w:sz w:val="24"/>
        </w:rPr>
      </w:pPr>
    </w:p>
    <w:p>
      <w:pPr>
        <w:pStyle w:val="ListParagraph"/>
        <w:numPr>
          <w:ilvl w:val="1"/>
          <w:numId w:val="4"/>
        </w:numPr>
        <w:tabs>
          <w:tab w:pos="1171" w:val="left" w:leader="none"/>
        </w:tabs>
        <w:spacing w:line="276" w:lineRule="auto" w:before="0" w:after="0"/>
        <w:ind w:left="1132" w:right="689" w:hanging="401"/>
        <w:jc w:val="both"/>
        <w:rPr>
          <w:sz w:val="20"/>
        </w:rPr>
      </w:pPr>
      <w:r>
        <w:rPr>
          <w:sz w:val="20"/>
        </w:rPr>
        <w:t>‘üçüncü kişi’ veri sahibi, kontrolör, işleyici ve, kontrolör ya da işleyicinin doğrudan yetkisi altında, kişisel verileri işleme yetkisi bulunan kişiler haricindeki bir gerçek veya tüzel kişi, kamu kurumu, kuruluşu veya</w:t>
      </w:r>
      <w:r>
        <w:rPr>
          <w:spacing w:val="-1"/>
          <w:sz w:val="20"/>
        </w:rPr>
        <w:t> </w:t>
      </w:r>
      <w:r>
        <w:rPr>
          <w:sz w:val="20"/>
        </w:rPr>
        <w:t>organıdır;</w:t>
      </w:r>
    </w:p>
    <w:p>
      <w:pPr>
        <w:pStyle w:val="BodyText"/>
        <w:rPr>
          <w:sz w:val="22"/>
        </w:rPr>
      </w:pPr>
    </w:p>
    <w:p>
      <w:pPr>
        <w:pStyle w:val="BodyText"/>
        <w:spacing w:before="7"/>
        <w:rPr>
          <w:sz w:val="24"/>
        </w:rPr>
      </w:pPr>
    </w:p>
    <w:p>
      <w:pPr>
        <w:pStyle w:val="ListParagraph"/>
        <w:numPr>
          <w:ilvl w:val="1"/>
          <w:numId w:val="4"/>
        </w:numPr>
        <w:tabs>
          <w:tab w:pos="1133" w:val="left" w:leader="none"/>
        </w:tabs>
        <w:spacing w:line="276" w:lineRule="auto" w:before="0" w:after="0"/>
        <w:ind w:left="1132" w:right="689" w:hanging="401"/>
        <w:jc w:val="both"/>
        <w:rPr>
          <w:sz w:val="20"/>
        </w:rPr>
      </w:pPr>
      <w:r>
        <w:rPr>
          <w:sz w:val="20"/>
        </w:rPr>
        <w:t>veri sahibinin ‘rızası’ veri sahibinin bir beyan yoluyla ya da açık bir onay eylemiyle kendisine ait kişisel verilerin işlenmesine onay verdiğini gösteren özgür bir şekilde verilmiş spesifik, bilinçli ve açık göstergedir;</w:t>
      </w:r>
    </w:p>
    <w:p>
      <w:pPr>
        <w:pStyle w:val="BodyText"/>
        <w:rPr>
          <w:sz w:val="22"/>
        </w:rPr>
      </w:pPr>
    </w:p>
    <w:p>
      <w:pPr>
        <w:pStyle w:val="BodyText"/>
        <w:spacing w:before="8"/>
        <w:rPr>
          <w:sz w:val="24"/>
        </w:rPr>
      </w:pPr>
    </w:p>
    <w:p>
      <w:pPr>
        <w:pStyle w:val="ListParagraph"/>
        <w:numPr>
          <w:ilvl w:val="1"/>
          <w:numId w:val="4"/>
        </w:numPr>
        <w:tabs>
          <w:tab w:pos="1133" w:val="left" w:leader="none"/>
        </w:tabs>
        <w:spacing w:line="276" w:lineRule="auto" w:before="0" w:after="0"/>
        <w:ind w:left="1132" w:right="697" w:hanging="401"/>
        <w:jc w:val="both"/>
        <w:rPr>
          <w:sz w:val="20"/>
        </w:rPr>
      </w:pPr>
      <w:r>
        <w:rPr>
          <w:sz w:val="20"/>
        </w:rPr>
        <w:t>‘kişisel veri ihlali’ iletilen, saklanan veya işlenen kişisel verilerin kazara veya yasa dışı yollarla imha edilmesi, kaybı, değiştirilmesi, yetkisiz şekilde açıklanması veya bunlara erişime yol açan bir güvenlik</w:t>
      </w:r>
      <w:r>
        <w:rPr>
          <w:spacing w:val="1"/>
          <w:sz w:val="20"/>
        </w:rPr>
        <w:t> </w:t>
      </w:r>
      <w:r>
        <w:rPr>
          <w:sz w:val="20"/>
        </w:rPr>
        <w:t>ihlalidir;</w:t>
      </w:r>
    </w:p>
    <w:p>
      <w:pPr>
        <w:pStyle w:val="BodyText"/>
        <w:rPr>
          <w:sz w:val="22"/>
        </w:rPr>
      </w:pPr>
    </w:p>
    <w:p>
      <w:pPr>
        <w:pStyle w:val="BodyText"/>
        <w:spacing w:before="7"/>
        <w:rPr>
          <w:sz w:val="24"/>
        </w:rPr>
      </w:pPr>
    </w:p>
    <w:p>
      <w:pPr>
        <w:pStyle w:val="ListParagraph"/>
        <w:numPr>
          <w:ilvl w:val="1"/>
          <w:numId w:val="4"/>
        </w:numPr>
        <w:tabs>
          <w:tab w:pos="1163" w:val="left" w:leader="none"/>
        </w:tabs>
        <w:spacing w:line="276" w:lineRule="auto" w:before="0" w:after="0"/>
        <w:ind w:left="1132" w:right="694" w:hanging="401"/>
        <w:jc w:val="both"/>
        <w:rPr>
          <w:sz w:val="20"/>
        </w:rPr>
      </w:pPr>
      <w:r>
        <w:rPr>
          <w:sz w:val="20"/>
        </w:rPr>
        <w:t>‘genetik veri’ bir gerçek kişinin fizyoloji veya sağlığı ile ilgili eşsiz bilgiler sağlayan ve özellikle söz konusu gerçek kişiden alınan bir biyolojik numunenin analizinden kaynaklanan ve söz konusu kişinin kalıtım yoluyla alınan veya kazanılan özelliklerine ilişkin kişisel</w:t>
      </w:r>
      <w:r>
        <w:rPr>
          <w:spacing w:val="-4"/>
          <w:sz w:val="20"/>
        </w:rPr>
        <w:t> </w:t>
      </w:r>
      <w:r>
        <w:rPr>
          <w:sz w:val="20"/>
        </w:rPr>
        <w:t>verilerdir;</w:t>
      </w:r>
    </w:p>
    <w:p>
      <w:pPr>
        <w:spacing w:after="0" w:line="276"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before="8"/>
      </w:pPr>
    </w:p>
    <w:p>
      <w:pPr>
        <w:pStyle w:val="ListParagraph"/>
        <w:numPr>
          <w:ilvl w:val="1"/>
          <w:numId w:val="4"/>
        </w:numPr>
        <w:tabs>
          <w:tab w:pos="1133" w:val="left" w:leader="none"/>
        </w:tabs>
        <w:spacing w:line="276" w:lineRule="auto" w:before="93" w:after="0"/>
        <w:ind w:left="1132" w:right="698" w:hanging="401"/>
        <w:jc w:val="both"/>
        <w:rPr>
          <w:sz w:val="20"/>
        </w:rPr>
      </w:pPr>
      <w:r>
        <w:rPr>
          <w:sz w:val="20"/>
        </w:rPr>
        <w:t>‘biyometrik veri’ yüz görüntüleri veya daktiloskopik veriler gibi bir gerçek kişinin özgün bir şekilde teşhis edilmesini sağlayan veya teyit eden fiziksel, fizyolojik veya davranışsal özelliklerine ilişkin olarak spesifik teknik işlemeden kaynaklanan kişisel</w:t>
      </w:r>
      <w:r>
        <w:rPr>
          <w:spacing w:val="1"/>
          <w:sz w:val="20"/>
        </w:rPr>
        <w:t> </w:t>
      </w:r>
      <w:r>
        <w:rPr>
          <w:sz w:val="20"/>
        </w:rPr>
        <w:t>verilerdir;</w:t>
      </w:r>
    </w:p>
    <w:p>
      <w:pPr>
        <w:pStyle w:val="BodyText"/>
        <w:rPr>
          <w:sz w:val="22"/>
        </w:rPr>
      </w:pPr>
    </w:p>
    <w:p>
      <w:pPr>
        <w:pStyle w:val="BodyText"/>
        <w:spacing w:before="7"/>
        <w:rPr>
          <w:sz w:val="24"/>
        </w:rPr>
      </w:pPr>
    </w:p>
    <w:p>
      <w:pPr>
        <w:pStyle w:val="ListParagraph"/>
        <w:numPr>
          <w:ilvl w:val="1"/>
          <w:numId w:val="4"/>
        </w:numPr>
        <w:tabs>
          <w:tab w:pos="1133" w:val="left" w:leader="none"/>
        </w:tabs>
        <w:spacing w:line="276" w:lineRule="auto" w:before="0" w:after="0"/>
        <w:ind w:left="1132" w:right="692" w:hanging="401"/>
        <w:jc w:val="both"/>
        <w:rPr>
          <w:sz w:val="20"/>
        </w:rPr>
      </w:pPr>
      <w:r>
        <w:rPr>
          <w:sz w:val="20"/>
        </w:rPr>
        <w:t>‘sağlıkla ilgili veri’ sağlık hizmetlerinin sağlanması da dahil olmak üzere bir gerçek kişinin sağlık durumuyla ilgili bilgilerin açıklandığı, söz konusu gerçek kişinin fiziksel veya ruhsal sağlığına ilişkin kişisel</w:t>
      </w:r>
      <w:r>
        <w:rPr>
          <w:spacing w:val="-3"/>
          <w:sz w:val="20"/>
        </w:rPr>
        <w:t> </w:t>
      </w:r>
      <w:r>
        <w:rPr>
          <w:sz w:val="20"/>
        </w:rPr>
        <w:t>verilerdir;</w:t>
      </w:r>
    </w:p>
    <w:p>
      <w:pPr>
        <w:pStyle w:val="BodyText"/>
        <w:spacing w:before="3"/>
        <w:rPr>
          <w:sz w:val="24"/>
        </w:rPr>
      </w:pPr>
    </w:p>
    <w:p>
      <w:pPr>
        <w:pStyle w:val="ListParagraph"/>
        <w:numPr>
          <w:ilvl w:val="1"/>
          <w:numId w:val="4"/>
        </w:numPr>
        <w:tabs>
          <w:tab w:pos="1140" w:val="left" w:leader="none"/>
        </w:tabs>
        <w:spacing w:line="240" w:lineRule="auto" w:before="0" w:after="0"/>
        <w:ind w:left="1139" w:right="0" w:hanging="410"/>
        <w:jc w:val="left"/>
        <w:rPr>
          <w:sz w:val="20"/>
        </w:rPr>
      </w:pPr>
      <w:r>
        <w:rPr>
          <w:sz w:val="20"/>
        </w:rPr>
        <w:t>‘asıl</w:t>
      </w:r>
      <w:r>
        <w:rPr>
          <w:spacing w:val="-3"/>
          <w:sz w:val="20"/>
        </w:rPr>
        <w:t> </w:t>
      </w:r>
      <w:r>
        <w:rPr>
          <w:sz w:val="20"/>
        </w:rPr>
        <w:t>kuruluş’:</w:t>
      </w:r>
    </w:p>
    <w:p>
      <w:pPr>
        <w:pStyle w:val="BodyText"/>
        <w:spacing w:before="11"/>
        <w:rPr>
          <w:sz w:val="25"/>
        </w:rPr>
      </w:pPr>
    </w:p>
    <w:p>
      <w:pPr>
        <w:pStyle w:val="ListParagraph"/>
        <w:numPr>
          <w:ilvl w:val="2"/>
          <w:numId w:val="4"/>
        </w:numPr>
        <w:tabs>
          <w:tab w:pos="1512" w:val="left" w:leader="none"/>
        </w:tabs>
        <w:spacing w:line="276" w:lineRule="auto" w:before="0" w:after="0"/>
        <w:ind w:left="1425" w:right="686" w:hanging="295"/>
        <w:jc w:val="both"/>
        <w:rPr>
          <w:sz w:val="20"/>
        </w:rPr>
      </w:pPr>
      <w:r>
        <w:rPr>
          <w:sz w:val="20"/>
        </w:rPr>
        <w:t>birden fazla üye devlette işletmesi bulunan bir kontrolör ile ilgili olarak, kişisel verilerin işlenmesine ilişkin amaçlar ve yöntemlere yönelik kararların kontrolörün Birlik içerisindeki başka bir işletmesinde alınmaması ve bu işletmenin söz konusu kararları uygulatma yetkisinin bulunmaması durumunda (ki bunların gerçekleşmesi halinde, </w:t>
      </w:r>
      <w:r>
        <w:rPr>
          <w:spacing w:val="2"/>
          <w:sz w:val="20"/>
        </w:rPr>
        <w:t>söz </w:t>
      </w:r>
      <w:r>
        <w:rPr>
          <w:sz w:val="20"/>
        </w:rPr>
        <w:t>konusu kararları alan işletme asıl kuruluş olarak kabul edilir), Birlik içerisindeki merkezi idare</w:t>
      </w:r>
      <w:r>
        <w:rPr>
          <w:spacing w:val="-11"/>
          <w:sz w:val="20"/>
        </w:rPr>
        <w:t> </w:t>
      </w:r>
      <w:r>
        <w:rPr>
          <w:sz w:val="20"/>
        </w:rPr>
        <w:t>yeridir;</w:t>
      </w:r>
    </w:p>
    <w:p>
      <w:pPr>
        <w:pStyle w:val="BodyText"/>
        <w:rPr>
          <w:sz w:val="22"/>
        </w:rPr>
      </w:pPr>
    </w:p>
    <w:p>
      <w:pPr>
        <w:pStyle w:val="BodyText"/>
        <w:spacing w:before="9"/>
        <w:rPr>
          <w:sz w:val="24"/>
        </w:rPr>
      </w:pPr>
    </w:p>
    <w:p>
      <w:pPr>
        <w:pStyle w:val="ListParagraph"/>
        <w:numPr>
          <w:ilvl w:val="2"/>
          <w:numId w:val="4"/>
        </w:numPr>
        <w:tabs>
          <w:tab w:pos="1452" w:val="left" w:leader="none"/>
        </w:tabs>
        <w:spacing w:line="276" w:lineRule="auto" w:before="0" w:after="0"/>
        <w:ind w:left="1425" w:right="694" w:hanging="295"/>
        <w:jc w:val="both"/>
        <w:rPr>
          <w:sz w:val="20"/>
        </w:rPr>
      </w:pPr>
      <w:r>
        <w:rPr>
          <w:sz w:val="20"/>
        </w:rPr>
        <w:t>birden fazla üye devlette işletmesi bulunan bir işleyici ile ilgili olarak, Birlik içerisindeki merkezi idare yeri veya, işleyicinin Birlik içerisinde merkezi bir işletmesinin bulunmaması halinde, işleyicinin bir işletmesinin faaliyetleri bağlamındaki temel işleme faaliyetlerinin işleyicinin bu Tüzük kapsamındaki spesifik yükümlülüklere tabi olduğu ölçüde gerçekleştiği Birlik içerisindeki işletmesidir;</w:t>
      </w:r>
    </w:p>
    <w:p>
      <w:pPr>
        <w:pStyle w:val="BodyText"/>
        <w:rPr>
          <w:sz w:val="22"/>
        </w:rPr>
      </w:pPr>
    </w:p>
    <w:p>
      <w:pPr>
        <w:pStyle w:val="BodyText"/>
        <w:spacing w:before="11"/>
        <w:rPr>
          <w:sz w:val="23"/>
        </w:rPr>
      </w:pPr>
    </w:p>
    <w:p>
      <w:pPr>
        <w:pStyle w:val="ListParagraph"/>
        <w:numPr>
          <w:ilvl w:val="1"/>
          <w:numId w:val="4"/>
        </w:numPr>
        <w:tabs>
          <w:tab w:pos="1144" w:val="left" w:leader="none"/>
        </w:tabs>
        <w:spacing w:line="276" w:lineRule="auto" w:before="0" w:after="0"/>
        <w:ind w:left="1132" w:right="699" w:hanging="401"/>
        <w:jc w:val="both"/>
        <w:rPr>
          <w:sz w:val="20"/>
        </w:rPr>
      </w:pPr>
      <w:r>
        <w:rPr>
          <w:sz w:val="20"/>
        </w:rPr>
        <w:t>‘temsilci’ Birlik içerisinde kurulu bulunan, 27. madde uyarınca kontrolör veya işleyici tarafından yazılı olarak belirlenen, bu Tüzük kapsamındaki yükümlülükleri ile ilgili olarak kontrolör veya işleyiciyi temsil eden bir gerçek veya tüzel</w:t>
      </w:r>
      <w:r>
        <w:rPr>
          <w:spacing w:val="-1"/>
          <w:sz w:val="20"/>
        </w:rPr>
        <w:t> </w:t>
      </w:r>
      <w:r>
        <w:rPr>
          <w:sz w:val="20"/>
        </w:rPr>
        <w:t>kişidir;</w:t>
      </w:r>
    </w:p>
    <w:p>
      <w:pPr>
        <w:pStyle w:val="BodyText"/>
        <w:rPr>
          <w:sz w:val="23"/>
        </w:rPr>
      </w:pPr>
    </w:p>
    <w:p>
      <w:pPr>
        <w:pStyle w:val="ListParagraph"/>
        <w:numPr>
          <w:ilvl w:val="1"/>
          <w:numId w:val="4"/>
        </w:numPr>
        <w:tabs>
          <w:tab w:pos="1133" w:val="left" w:leader="none"/>
        </w:tabs>
        <w:spacing w:line="276" w:lineRule="auto" w:before="1" w:after="0"/>
        <w:ind w:left="1132" w:right="701" w:hanging="401"/>
        <w:jc w:val="both"/>
        <w:rPr>
          <w:sz w:val="20"/>
        </w:rPr>
      </w:pPr>
      <w:r>
        <w:rPr>
          <w:sz w:val="20"/>
        </w:rPr>
        <w:t>‘işletme’ düzenli olarak bir ekonomik faaliyetle iştigal eden ortaklıklar veya birlikler de dahil olmak üzere</w:t>
      </w:r>
      <w:r>
        <w:rPr>
          <w:spacing w:val="-3"/>
          <w:sz w:val="20"/>
        </w:rPr>
        <w:t> </w:t>
      </w:r>
      <w:r>
        <w:rPr>
          <w:sz w:val="20"/>
        </w:rPr>
        <w:t>hukuki</w:t>
      </w:r>
      <w:r>
        <w:rPr>
          <w:spacing w:val="-7"/>
          <w:sz w:val="20"/>
        </w:rPr>
        <w:t> </w:t>
      </w:r>
      <w:r>
        <w:rPr>
          <w:sz w:val="20"/>
        </w:rPr>
        <w:t>biçimine</w:t>
      </w:r>
      <w:r>
        <w:rPr>
          <w:spacing w:val="-7"/>
          <w:sz w:val="20"/>
        </w:rPr>
        <w:t> </w:t>
      </w:r>
      <w:r>
        <w:rPr>
          <w:sz w:val="20"/>
        </w:rPr>
        <w:t>bakılmaksızın</w:t>
      </w:r>
      <w:r>
        <w:rPr>
          <w:spacing w:val="-4"/>
          <w:sz w:val="20"/>
        </w:rPr>
        <w:t> </w:t>
      </w:r>
      <w:r>
        <w:rPr>
          <w:sz w:val="20"/>
        </w:rPr>
        <w:t>bir</w:t>
      </w:r>
      <w:r>
        <w:rPr>
          <w:spacing w:val="-3"/>
          <w:sz w:val="20"/>
        </w:rPr>
        <w:t> </w:t>
      </w:r>
      <w:r>
        <w:rPr>
          <w:sz w:val="20"/>
        </w:rPr>
        <w:t>ekonomik</w:t>
      </w:r>
      <w:r>
        <w:rPr>
          <w:spacing w:val="-5"/>
          <w:sz w:val="20"/>
        </w:rPr>
        <w:t> </w:t>
      </w:r>
      <w:r>
        <w:rPr>
          <w:sz w:val="20"/>
        </w:rPr>
        <w:t>faaliyetle</w:t>
      </w:r>
      <w:r>
        <w:rPr>
          <w:spacing w:val="-4"/>
          <w:sz w:val="20"/>
        </w:rPr>
        <w:t> </w:t>
      </w:r>
      <w:r>
        <w:rPr>
          <w:sz w:val="20"/>
        </w:rPr>
        <w:t>iştigal</w:t>
      </w:r>
      <w:r>
        <w:rPr>
          <w:spacing w:val="-5"/>
          <w:sz w:val="20"/>
        </w:rPr>
        <w:t> </w:t>
      </w:r>
      <w:r>
        <w:rPr>
          <w:sz w:val="20"/>
        </w:rPr>
        <w:t>eden</w:t>
      </w:r>
      <w:r>
        <w:rPr>
          <w:spacing w:val="-6"/>
          <w:sz w:val="20"/>
        </w:rPr>
        <w:t> </w:t>
      </w:r>
      <w:r>
        <w:rPr>
          <w:sz w:val="20"/>
        </w:rPr>
        <w:t>bir</w:t>
      </w:r>
      <w:r>
        <w:rPr>
          <w:spacing w:val="-5"/>
          <w:sz w:val="20"/>
        </w:rPr>
        <w:t> </w:t>
      </w:r>
      <w:r>
        <w:rPr>
          <w:sz w:val="20"/>
        </w:rPr>
        <w:t>gerçek</w:t>
      </w:r>
      <w:r>
        <w:rPr>
          <w:spacing w:val="-3"/>
          <w:sz w:val="20"/>
        </w:rPr>
        <w:t> </w:t>
      </w:r>
      <w:r>
        <w:rPr>
          <w:sz w:val="20"/>
        </w:rPr>
        <w:t>veya</w:t>
      </w:r>
      <w:r>
        <w:rPr>
          <w:spacing w:val="-4"/>
          <w:sz w:val="20"/>
        </w:rPr>
        <w:t> </w:t>
      </w:r>
      <w:r>
        <w:rPr>
          <w:sz w:val="20"/>
        </w:rPr>
        <w:t>tüzel</w:t>
      </w:r>
      <w:r>
        <w:rPr>
          <w:spacing w:val="-5"/>
          <w:sz w:val="20"/>
        </w:rPr>
        <w:t> </w:t>
      </w:r>
      <w:r>
        <w:rPr>
          <w:sz w:val="20"/>
        </w:rPr>
        <w:t>kişidir;</w:t>
      </w:r>
    </w:p>
    <w:p>
      <w:pPr>
        <w:pStyle w:val="BodyText"/>
        <w:spacing w:before="3"/>
        <w:rPr>
          <w:sz w:val="24"/>
        </w:rPr>
      </w:pPr>
    </w:p>
    <w:p>
      <w:pPr>
        <w:pStyle w:val="ListParagraph"/>
        <w:numPr>
          <w:ilvl w:val="1"/>
          <w:numId w:val="4"/>
        </w:numPr>
        <w:tabs>
          <w:tab w:pos="1140" w:val="left" w:leader="none"/>
        </w:tabs>
        <w:spacing w:line="240" w:lineRule="auto" w:before="0" w:after="0"/>
        <w:ind w:left="1139" w:right="0" w:hanging="410"/>
        <w:jc w:val="left"/>
        <w:rPr>
          <w:sz w:val="20"/>
        </w:rPr>
      </w:pPr>
      <w:r>
        <w:rPr>
          <w:sz w:val="20"/>
        </w:rPr>
        <w:t>‘teşebbüsler grubu’ bir denetleyici teşebbüs ve denetlenmiş</w:t>
      </w:r>
      <w:r>
        <w:rPr>
          <w:spacing w:val="-9"/>
          <w:sz w:val="20"/>
        </w:rPr>
        <w:t> </w:t>
      </w:r>
      <w:r>
        <w:rPr>
          <w:sz w:val="20"/>
        </w:rPr>
        <w:t>teşebbüslerdir;</w:t>
      </w:r>
    </w:p>
    <w:p>
      <w:pPr>
        <w:pStyle w:val="BodyText"/>
        <w:rPr>
          <w:sz w:val="22"/>
        </w:rPr>
      </w:pPr>
    </w:p>
    <w:p>
      <w:pPr>
        <w:pStyle w:val="BodyText"/>
        <w:rPr>
          <w:sz w:val="28"/>
        </w:rPr>
      </w:pPr>
    </w:p>
    <w:p>
      <w:pPr>
        <w:pStyle w:val="ListParagraph"/>
        <w:numPr>
          <w:ilvl w:val="1"/>
          <w:numId w:val="4"/>
        </w:numPr>
        <w:tabs>
          <w:tab w:pos="1149" w:val="left" w:leader="none"/>
        </w:tabs>
        <w:spacing w:line="276" w:lineRule="auto" w:before="0" w:after="0"/>
        <w:ind w:left="731" w:right="689" w:firstLine="0"/>
        <w:jc w:val="both"/>
        <w:rPr>
          <w:sz w:val="20"/>
        </w:rPr>
      </w:pPr>
      <w:r>
        <w:rPr>
          <w:sz w:val="20"/>
        </w:rPr>
        <w:t>‘bağlayıcı kurumsal kurallar’ ortak bir ekonomik faaliyetle iştigal eden bir teşebbüsler grubu veya bir işletmeler grubu içerisinde bir veya daha fazla sayıda üçüncü ülkedeki bir kontrolör veya işleyiciye kişisel veri aktarımları veya aktarım dizisiyle ilgili olarak Birliğin üye devletlerinden birinin  topraklarında kurulmuş olan bir kontrolör veya işleyici tarafından uyulan kişisel veri koruma</w:t>
      </w:r>
      <w:r>
        <w:rPr>
          <w:spacing w:val="-23"/>
          <w:sz w:val="20"/>
        </w:rPr>
        <w:t> </w:t>
      </w:r>
      <w:r>
        <w:rPr>
          <w:sz w:val="20"/>
        </w:rPr>
        <w:t>politikalarıdır;</w:t>
      </w:r>
    </w:p>
    <w:p>
      <w:pPr>
        <w:pStyle w:val="BodyText"/>
        <w:spacing w:before="3"/>
        <w:rPr>
          <w:sz w:val="24"/>
        </w:rPr>
      </w:pPr>
    </w:p>
    <w:p>
      <w:pPr>
        <w:pStyle w:val="ListParagraph"/>
        <w:numPr>
          <w:ilvl w:val="1"/>
          <w:numId w:val="4"/>
        </w:numPr>
        <w:tabs>
          <w:tab w:pos="1540" w:val="left" w:leader="none"/>
          <w:tab w:pos="1541" w:val="left" w:leader="none"/>
        </w:tabs>
        <w:spacing w:line="276" w:lineRule="auto" w:before="0" w:after="0"/>
        <w:ind w:left="729" w:right="1166" w:firstLine="0"/>
        <w:jc w:val="left"/>
        <w:rPr>
          <w:sz w:val="20"/>
        </w:rPr>
      </w:pPr>
      <w:r>
        <w:rPr>
          <w:sz w:val="20"/>
        </w:rPr>
        <w:t>‘denetim makamı’ 51. madde uyarınca bir üye devlet tarafından kurulan bağımsız bir kamu kuruluşudur;</w:t>
      </w:r>
    </w:p>
    <w:p>
      <w:pPr>
        <w:pStyle w:val="BodyText"/>
        <w:rPr>
          <w:sz w:val="27"/>
        </w:rPr>
      </w:pPr>
    </w:p>
    <w:p>
      <w:pPr>
        <w:pStyle w:val="ListParagraph"/>
        <w:numPr>
          <w:ilvl w:val="1"/>
          <w:numId w:val="4"/>
        </w:numPr>
        <w:tabs>
          <w:tab w:pos="1198" w:val="left" w:leader="none"/>
        </w:tabs>
        <w:spacing w:line="278" w:lineRule="auto" w:before="1" w:after="0"/>
        <w:ind w:left="1132" w:right="700" w:hanging="401"/>
        <w:jc w:val="both"/>
        <w:rPr>
          <w:sz w:val="20"/>
        </w:rPr>
      </w:pPr>
      <w:r>
        <w:rPr>
          <w:sz w:val="20"/>
        </w:rPr>
        <w:t>‘ilgili denetim makamı’ aşağıdaki sebeplerden dolayı kişisel verilerin işlenmesiyle ilgili olan bir denetim makamıdır:</w:t>
      </w:r>
    </w:p>
    <w:p>
      <w:pPr>
        <w:pStyle w:val="BodyText"/>
        <w:spacing w:before="10"/>
        <w:rPr>
          <w:sz w:val="22"/>
        </w:rPr>
      </w:pPr>
    </w:p>
    <w:p>
      <w:pPr>
        <w:pStyle w:val="ListParagraph"/>
        <w:numPr>
          <w:ilvl w:val="2"/>
          <w:numId w:val="4"/>
        </w:numPr>
        <w:tabs>
          <w:tab w:pos="1490" w:val="left" w:leader="none"/>
        </w:tabs>
        <w:spacing w:line="276" w:lineRule="auto" w:before="0" w:after="0"/>
        <w:ind w:left="1490" w:right="1061" w:hanging="360"/>
        <w:jc w:val="left"/>
        <w:rPr>
          <w:sz w:val="20"/>
        </w:rPr>
      </w:pPr>
      <w:r>
        <w:rPr>
          <w:sz w:val="20"/>
        </w:rPr>
        <w:t>kontrolör veya işleyicinin söz konusu denetim makamının üye devletinin topraklarında kurulu bulunması;</w:t>
      </w:r>
    </w:p>
    <w:p>
      <w:pPr>
        <w:pStyle w:val="BodyText"/>
        <w:spacing w:before="6"/>
        <w:rPr>
          <w:sz w:val="23"/>
        </w:rPr>
      </w:pPr>
    </w:p>
    <w:p>
      <w:pPr>
        <w:pStyle w:val="ListParagraph"/>
        <w:numPr>
          <w:ilvl w:val="2"/>
          <w:numId w:val="4"/>
        </w:numPr>
        <w:tabs>
          <w:tab w:pos="1430" w:val="left" w:leader="none"/>
        </w:tabs>
        <w:spacing w:line="276" w:lineRule="auto" w:before="0" w:after="0"/>
        <w:ind w:left="1425" w:right="697" w:hanging="295"/>
        <w:jc w:val="both"/>
        <w:rPr>
          <w:sz w:val="20"/>
        </w:rPr>
      </w:pPr>
      <w:r>
        <w:rPr>
          <w:sz w:val="20"/>
        </w:rPr>
        <w:t>söz konusu denetim makamının üye devletinde ikamet eden veri sahiplerinin işleme faaliyetinden kayda değer biçimde etkilenmesi veya kayda değer biçimde etkilenme ihtimalinin bulunması veya</w:t>
      </w:r>
    </w:p>
    <w:p>
      <w:pPr>
        <w:pStyle w:val="BodyText"/>
        <w:rPr>
          <w:sz w:val="23"/>
        </w:rPr>
      </w:pPr>
    </w:p>
    <w:p>
      <w:pPr>
        <w:pStyle w:val="ListParagraph"/>
        <w:numPr>
          <w:ilvl w:val="2"/>
          <w:numId w:val="4"/>
        </w:numPr>
        <w:tabs>
          <w:tab w:pos="1420" w:val="left" w:leader="none"/>
        </w:tabs>
        <w:spacing w:line="240" w:lineRule="auto" w:before="1" w:after="0"/>
        <w:ind w:left="1419" w:right="0" w:hanging="289"/>
        <w:jc w:val="left"/>
        <w:rPr>
          <w:sz w:val="20"/>
        </w:rPr>
      </w:pPr>
      <w:r>
        <w:rPr>
          <w:sz w:val="20"/>
        </w:rPr>
        <w:t>söz konusu denetim makamına bir şikayetin</w:t>
      </w:r>
      <w:r>
        <w:rPr>
          <w:spacing w:val="-7"/>
          <w:sz w:val="20"/>
        </w:rPr>
        <w:t> </w:t>
      </w:r>
      <w:r>
        <w:rPr>
          <w:sz w:val="20"/>
        </w:rPr>
        <w:t>iletilmesi;</w:t>
      </w:r>
    </w:p>
    <w:p>
      <w:pPr>
        <w:pStyle w:val="ListParagraph"/>
        <w:numPr>
          <w:ilvl w:val="1"/>
          <w:numId w:val="4"/>
        </w:numPr>
        <w:tabs>
          <w:tab w:pos="1231" w:val="left" w:leader="none"/>
        </w:tabs>
        <w:spacing w:line="240" w:lineRule="auto" w:before="34" w:after="0"/>
        <w:ind w:left="1230" w:right="0" w:hanging="410"/>
        <w:jc w:val="left"/>
        <w:rPr>
          <w:sz w:val="20"/>
        </w:rPr>
      </w:pPr>
      <w:r>
        <w:rPr>
          <w:sz w:val="20"/>
        </w:rPr>
        <w:t>‘sınır ötesi</w:t>
      </w:r>
      <w:r>
        <w:rPr>
          <w:spacing w:val="-1"/>
          <w:sz w:val="20"/>
        </w:rPr>
        <w:t> </w:t>
      </w:r>
      <w:r>
        <w:rPr>
          <w:sz w:val="20"/>
        </w:rPr>
        <w:t>işleme’:</w:t>
      </w:r>
    </w:p>
    <w:p>
      <w:pPr>
        <w:spacing w:after="0" w:line="240" w:lineRule="auto"/>
        <w:jc w:val="left"/>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2"/>
          <w:numId w:val="4"/>
        </w:numPr>
        <w:tabs>
          <w:tab w:pos="1452" w:val="left" w:leader="none"/>
        </w:tabs>
        <w:spacing w:line="276" w:lineRule="auto" w:before="66" w:after="0"/>
        <w:ind w:left="1425" w:right="689" w:hanging="295"/>
        <w:jc w:val="both"/>
        <w:rPr>
          <w:sz w:val="20"/>
        </w:rPr>
      </w:pPr>
      <w:r>
        <w:rPr>
          <w:sz w:val="20"/>
        </w:rPr>
        <w:t>kontrolör veya işleyicinin birden fazla üye devlette kurulu olması halinde, söz konusu kontrolör veya işleyicinin birden fazla üye devletteki işletmelerinin faaliyetleri bağlamında gerçekleşen kişisel veri işleme faaliyetidir</w:t>
      </w:r>
      <w:r>
        <w:rPr>
          <w:spacing w:val="-3"/>
          <w:sz w:val="20"/>
        </w:rPr>
        <w:t> </w:t>
      </w:r>
      <w:r>
        <w:rPr>
          <w:sz w:val="20"/>
        </w:rPr>
        <w:t>veya</w:t>
      </w:r>
    </w:p>
    <w:p>
      <w:pPr>
        <w:pStyle w:val="BodyText"/>
        <w:spacing w:before="3"/>
        <w:rPr>
          <w:sz w:val="23"/>
        </w:rPr>
      </w:pPr>
    </w:p>
    <w:p>
      <w:pPr>
        <w:pStyle w:val="ListParagraph"/>
        <w:numPr>
          <w:ilvl w:val="2"/>
          <w:numId w:val="4"/>
        </w:numPr>
        <w:tabs>
          <w:tab w:pos="1507" w:val="left" w:leader="none"/>
        </w:tabs>
        <w:spacing w:line="276" w:lineRule="auto" w:before="1" w:after="0"/>
        <w:ind w:left="1425" w:right="699" w:hanging="295"/>
        <w:jc w:val="both"/>
        <w:rPr>
          <w:sz w:val="20"/>
        </w:rPr>
      </w:pPr>
      <w:r>
        <w:rPr>
          <w:sz w:val="20"/>
        </w:rPr>
        <w:t>bir kontrolör veya işleyicinin Birlik içerisindeki tek bir işletmesinin faaliyetleri bağlamında gerçekleşen, ancak birden fazla üye devletteki veri sahiplerini kayda değer ölçüde etkileyen veya kayda değer ölçüde etkileme ihtimali bulunan kişisel veri işleme</w:t>
      </w:r>
      <w:r>
        <w:rPr>
          <w:spacing w:val="-17"/>
          <w:sz w:val="20"/>
        </w:rPr>
        <w:t> </w:t>
      </w:r>
      <w:r>
        <w:rPr>
          <w:sz w:val="20"/>
        </w:rPr>
        <w:t>faaliyetidir.</w:t>
      </w:r>
    </w:p>
    <w:p>
      <w:pPr>
        <w:pStyle w:val="BodyText"/>
        <w:rPr>
          <w:sz w:val="23"/>
        </w:rPr>
      </w:pPr>
    </w:p>
    <w:p>
      <w:pPr>
        <w:pStyle w:val="ListParagraph"/>
        <w:numPr>
          <w:ilvl w:val="1"/>
          <w:numId w:val="4"/>
        </w:numPr>
        <w:tabs>
          <w:tab w:pos="1166" w:val="left" w:leader="none"/>
        </w:tabs>
        <w:spacing w:line="276" w:lineRule="auto" w:before="0" w:after="0"/>
        <w:ind w:left="1132" w:right="692" w:hanging="401"/>
        <w:jc w:val="both"/>
        <w:rPr>
          <w:sz w:val="20"/>
        </w:rPr>
      </w:pPr>
      <w:r>
        <w:rPr>
          <w:sz w:val="20"/>
        </w:rPr>
        <w:t>‘yerinde ve gerekçeli itiraz’ bir taslak karar açısından bu Tüzükle ilgili bir ihlal olup olmadığı veya kontrolör veya işleyici ile ilgili olarak öngörülen eylemin bu Tüzüğe uygun olup olmadığına yönelik olarak yapılan ve taslak kararın veri sahiplerinin temel hakları ve özgürlükleri ve, uygun olduğu hallerde, kişisel verilerin Birlik içerisinde serbest dolaşımı açısından teşkil ettiği risklerin önemini açık bir şekilde gösteren bir itirazdır;</w:t>
      </w:r>
    </w:p>
    <w:p>
      <w:pPr>
        <w:pStyle w:val="BodyText"/>
        <w:spacing w:before="2"/>
        <w:rPr>
          <w:sz w:val="23"/>
        </w:rPr>
      </w:pPr>
    </w:p>
    <w:p>
      <w:pPr>
        <w:pStyle w:val="ListParagraph"/>
        <w:numPr>
          <w:ilvl w:val="1"/>
          <w:numId w:val="4"/>
        </w:numPr>
        <w:tabs>
          <w:tab w:pos="1190" w:val="left" w:leader="none"/>
        </w:tabs>
        <w:spacing w:line="276" w:lineRule="auto" w:before="1" w:after="0"/>
        <w:ind w:left="1132" w:right="704" w:hanging="401"/>
        <w:jc w:val="both"/>
        <w:rPr>
          <w:sz w:val="20"/>
        </w:rPr>
      </w:pPr>
      <w:r>
        <w:rPr>
          <w:sz w:val="20"/>
        </w:rPr>
        <w:t>‘bilgi toplumu hizmeti’ (AB) 2015/1535 sayılı Avrupa Parlamentosu ve Konsey Direktifi’nin 1(1) maddesinin (b) bendinde tanımlanan bir</w:t>
      </w:r>
      <w:r>
        <w:rPr>
          <w:spacing w:val="-3"/>
          <w:sz w:val="20"/>
        </w:rPr>
        <w:t> </w:t>
      </w:r>
      <w:r>
        <w:rPr>
          <w:sz w:val="20"/>
        </w:rPr>
        <w:t>hizmettir</w:t>
      </w:r>
      <w:r>
        <w:rPr>
          <w:sz w:val="20"/>
          <w:vertAlign w:val="superscript"/>
        </w:rPr>
        <w:t>1</w:t>
      </w:r>
      <w:r>
        <w:rPr>
          <w:sz w:val="20"/>
          <w:vertAlign w:val="baseline"/>
        </w:rPr>
        <w:t>;</w:t>
      </w:r>
    </w:p>
    <w:p>
      <w:pPr>
        <w:pStyle w:val="BodyText"/>
        <w:spacing w:before="3"/>
        <w:rPr>
          <w:sz w:val="23"/>
        </w:rPr>
      </w:pPr>
    </w:p>
    <w:p>
      <w:pPr>
        <w:pStyle w:val="ListParagraph"/>
        <w:numPr>
          <w:ilvl w:val="1"/>
          <w:numId w:val="4"/>
        </w:numPr>
        <w:tabs>
          <w:tab w:pos="1161" w:val="left" w:leader="none"/>
        </w:tabs>
        <w:spacing w:line="276" w:lineRule="auto" w:before="0" w:after="0"/>
        <w:ind w:left="1132" w:right="690" w:hanging="401"/>
        <w:jc w:val="both"/>
        <w:rPr>
          <w:sz w:val="20"/>
        </w:rPr>
      </w:pPr>
      <w:r>
        <w:rPr>
          <w:sz w:val="20"/>
        </w:rPr>
        <w:t>‘uluslararası kuruluş’ uluslararası kamu hukuku </w:t>
      </w:r>
      <w:r>
        <w:rPr>
          <w:spacing w:val="-2"/>
          <w:sz w:val="20"/>
        </w:rPr>
        <w:t>ile </w:t>
      </w:r>
      <w:r>
        <w:rPr>
          <w:sz w:val="20"/>
        </w:rPr>
        <w:t>düzenlenen bir kuruluş ve söz konusu kuruluşa bağlı organlar veya iki ya da daha fazla sayıda ülke arasındaki bir anlaşma ile veya bir anlaşmaya dayalı olarak kurulan diğer her türlü</w:t>
      </w:r>
      <w:r>
        <w:rPr>
          <w:spacing w:val="-1"/>
          <w:sz w:val="20"/>
        </w:rPr>
        <w:t> </w:t>
      </w:r>
      <w:r>
        <w:rPr>
          <w:sz w:val="20"/>
        </w:rPr>
        <w:t>organdır.</w:t>
      </w:r>
    </w:p>
    <w:p>
      <w:pPr>
        <w:pStyle w:val="BodyText"/>
        <w:rPr>
          <w:sz w:val="22"/>
        </w:rPr>
      </w:pPr>
    </w:p>
    <w:p>
      <w:pPr>
        <w:pStyle w:val="BodyText"/>
        <w:rPr>
          <w:sz w:val="24"/>
        </w:rPr>
      </w:pPr>
    </w:p>
    <w:p>
      <w:pPr>
        <w:pStyle w:val="BodyText"/>
        <w:ind w:left="2207" w:right="2226"/>
        <w:jc w:val="center"/>
      </w:pPr>
      <w:r>
        <w:rPr/>
        <w:t>BÖLÜM II</w:t>
      </w:r>
    </w:p>
    <w:p>
      <w:pPr>
        <w:pStyle w:val="BodyText"/>
        <w:spacing w:before="9"/>
        <w:rPr>
          <w:sz w:val="26"/>
        </w:rPr>
      </w:pPr>
    </w:p>
    <w:p>
      <w:pPr>
        <w:pStyle w:val="Heading1"/>
        <w:ind w:left="2206"/>
      </w:pPr>
      <w:r>
        <w:rPr/>
        <w:t>İlkeler</w:t>
      </w:r>
    </w:p>
    <w:p>
      <w:pPr>
        <w:pStyle w:val="BodyText"/>
        <w:rPr>
          <w:b/>
          <w:sz w:val="22"/>
        </w:rPr>
      </w:pPr>
    </w:p>
    <w:p>
      <w:pPr>
        <w:pStyle w:val="BodyText"/>
        <w:spacing w:before="6"/>
        <w:rPr>
          <w:b/>
          <w:sz w:val="28"/>
        </w:rPr>
      </w:pPr>
    </w:p>
    <w:p>
      <w:pPr>
        <w:pStyle w:val="BodyText"/>
        <w:spacing w:line="276" w:lineRule="auto"/>
        <w:ind w:left="5035" w:right="5053"/>
        <w:jc w:val="center"/>
      </w:pPr>
      <w:r>
        <w:rPr/>
        <w:t>Madde 5</w:t>
      </w:r>
    </w:p>
    <w:p>
      <w:pPr>
        <w:pStyle w:val="BodyText"/>
        <w:spacing w:before="10"/>
        <w:rPr>
          <w:sz w:val="22"/>
        </w:rPr>
      </w:pPr>
    </w:p>
    <w:p>
      <w:pPr>
        <w:pStyle w:val="Heading1"/>
        <w:ind w:left="2203"/>
      </w:pPr>
      <w:r>
        <w:rPr/>
        <w:t>Kişisel verilerin işlenmesine ilişkin ilkeler</w:t>
      </w:r>
    </w:p>
    <w:p>
      <w:pPr>
        <w:pStyle w:val="BodyText"/>
        <w:rPr>
          <w:b/>
          <w:sz w:val="22"/>
        </w:rPr>
      </w:pPr>
    </w:p>
    <w:p>
      <w:pPr>
        <w:pStyle w:val="BodyText"/>
        <w:spacing w:before="8"/>
        <w:rPr>
          <w:b/>
          <w:sz w:val="27"/>
        </w:rPr>
      </w:pPr>
    </w:p>
    <w:p>
      <w:pPr>
        <w:pStyle w:val="ListParagraph"/>
        <w:numPr>
          <w:ilvl w:val="0"/>
          <w:numId w:val="6"/>
        </w:numPr>
        <w:tabs>
          <w:tab w:pos="948" w:val="left" w:leader="none"/>
        </w:tabs>
        <w:spacing w:line="240" w:lineRule="auto" w:before="1" w:after="0"/>
        <w:ind w:left="726" w:right="0" w:firstLine="0"/>
        <w:jc w:val="left"/>
        <w:rPr>
          <w:sz w:val="20"/>
        </w:rPr>
      </w:pPr>
      <w:r>
        <w:rPr>
          <w:sz w:val="20"/>
        </w:rPr>
        <w:t>Kişisel veriler:</w:t>
      </w:r>
    </w:p>
    <w:p>
      <w:pPr>
        <w:pStyle w:val="BodyText"/>
        <w:spacing w:before="8"/>
        <w:rPr>
          <w:sz w:val="26"/>
        </w:rPr>
      </w:pPr>
    </w:p>
    <w:p>
      <w:pPr>
        <w:pStyle w:val="ListParagraph"/>
        <w:numPr>
          <w:ilvl w:val="0"/>
          <w:numId w:val="7"/>
        </w:numPr>
        <w:tabs>
          <w:tab w:pos="1023" w:val="left" w:leader="none"/>
        </w:tabs>
        <w:spacing w:line="276" w:lineRule="auto" w:before="0" w:after="0"/>
        <w:ind w:left="1022" w:right="705" w:hanging="296"/>
        <w:jc w:val="both"/>
        <w:rPr>
          <w:sz w:val="20"/>
        </w:rPr>
      </w:pPr>
      <w:r>
        <w:rPr>
          <w:sz w:val="20"/>
        </w:rPr>
        <w:t>veri sahibi ile ilgili olarak hukuka uygun, adil ve şeffaf bir biçimde işlenir (’hukuka uygunluk, adalet ve şeffaflık’);</w:t>
      </w:r>
    </w:p>
    <w:p>
      <w:pPr>
        <w:pStyle w:val="BodyText"/>
        <w:spacing w:before="2"/>
        <w:rPr>
          <w:sz w:val="23"/>
        </w:rPr>
      </w:pPr>
    </w:p>
    <w:p>
      <w:pPr>
        <w:pStyle w:val="ListParagraph"/>
        <w:numPr>
          <w:ilvl w:val="0"/>
          <w:numId w:val="7"/>
        </w:numPr>
        <w:tabs>
          <w:tab w:pos="1041" w:val="left" w:leader="none"/>
        </w:tabs>
        <w:spacing w:line="276" w:lineRule="auto" w:before="0" w:after="0"/>
        <w:ind w:left="1022" w:right="694" w:hanging="296"/>
        <w:jc w:val="both"/>
        <w:rPr>
          <w:sz w:val="20"/>
        </w:rPr>
      </w:pPr>
      <w:r>
        <w:rPr>
          <w:sz w:val="20"/>
        </w:rPr>
        <w:t>belirtilen, açık ve meşru amaçlara yönelik olarak toplanır ve bu amaçlara uygun olmayan bir şekilde işlenmez; kamu yararına arşivleme amaçları, bilimsel veya tarihi araştırma amaçlarıyla veya istatistiki amaçlarla işleme faaliyeti, 89(1) maddesi uyarınca, baştaki amaçlara aykırı şekilde değerlendirilmez (‘amacın</w:t>
      </w:r>
      <w:r>
        <w:rPr>
          <w:spacing w:val="-2"/>
          <w:sz w:val="20"/>
        </w:rPr>
        <w:t> </w:t>
      </w:r>
      <w:r>
        <w:rPr>
          <w:sz w:val="20"/>
        </w:rPr>
        <w:t>sınırlandırılması’);</w:t>
      </w:r>
    </w:p>
    <w:p>
      <w:pPr>
        <w:pStyle w:val="BodyText"/>
        <w:spacing w:before="2"/>
        <w:rPr>
          <w:sz w:val="23"/>
        </w:rPr>
      </w:pPr>
    </w:p>
    <w:p>
      <w:pPr>
        <w:pStyle w:val="ListParagraph"/>
        <w:numPr>
          <w:ilvl w:val="0"/>
          <w:numId w:val="7"/>
        </w:numPr>
        <w:tabs>
          <w:tab w:pos="1036" w:val="left" w:leader="none"/>
        </w:tabs>
        <w:spacing w:line="276" w:lineRule="auto" w:before="0" w:after="0"/>
        <w:ind w:left="1022" w:right="698" w:hanging="296"/>
        <w:jc w:val="both"/>
        <w:rPr>
          <w:sz w:val="20"/>
        </w:rPr>
      </w:pPr>
      <w:r>
        <w:rPr>
          <w:sz w:val="20"/>
        </w:rPr>
        <w:t>işlendikleri amaçlarla ilgili olarak yeterli, yerinde ve gerekli olanla sınırlıdır (‘verilerin en az seviyeye indirilmesi’);</w:t>
      </w:r>
    </w:p>
    <w:p>
      <w:pPr>
        <w:pStyle w:val="BodyText"/>
        <w:spacing w:before="1"/>
        <w:rPr>
          <w:sz w:val="23"/>
        </w:rPr>
      </w:pPr>
    </w:p>
    <w:p>
      <w:pPr>
        <w:pStyle w:val="ListParagraph"/>
        <w:numPr>
          <w:ilvl w:val="0"/>
          <w:numId w:val="7"/>
        </w:numPr>
        <w:tabs>
          <w:tab w:pos="1023" w:val="left" w:leader="none"/>
        </w:tabs>
        <w:spacing w:line="276" w:lineRule="auto" w:before="0" w:after="0"/>
        <w:ind w:left="1022" w:right="694" w:hanging="296"/>
        <w:jc w:val="both"/>
        <w:rPr>
          <w:sz w:val="20"/>
        </w:rPr>
      </w:pPr>
      <w:r>
        <w:rPr>
          <w:sz w:val="20"/>
        </w:rPr>
        <w:t>doğrudur ve, gereken şekilde, güncel tutulur; işlendikleri amaçlar göz önünde tutularak, doğru olmayan kişisel verilerin gecikmeye mahal verilmeksizin silinmesi veya düzeltilmesinin sağlanmasıyla ilgili makul tüm adımlar atılmalıdır</w:t>
      </w:r>
      <w:r>
        <w:rPr>
          <w:spacing w:val="-4"/>
          <w:sz w:val="20"/>
        </w:rPr>
        <w:t> </w:t>
      </w:r>
      <w:r>
        <w:rPr>
          <w:sz w:val="20"/>
        </w:rPr>
        <w:t>(‘doğruluk’);</w:t>
      </w:r>
    </w:p>
    <w:p>
      <w:pPr>
        <w:pStyle w:val="BodyText"/>
        <w:spacing w:before="7"/>
        <w:rPr>
          <w:sz w:val="31"/>
        </w:rPr>
      </w:pPr>
    </w:p>
    <w:p>
      <w:pPr>
        <w:pStyle w:val="ListParagraph"/>
        <w:numPr>
          <w:ilvl w:val="0"/>
          <w:numId w:val="7"/>
        </w:numPr>
        <w:tabs>
          <w:tab w:pos="1023" w:val="left" w:leader="none"/>
        </w:tabs>
        <w:spacing w:line="240" w:lineRule="auto" w:before="0" w:after="0"/>
        <w:ind w:left="1022" w:right="0" w:hanging="296"/>
        <w:jc w:val="left"/>
        <w:rPr>
          <w:sz w:val="20"/>
        </w:rPr>
      </w:pPr>
      <w:r>
        <w:rPr>
          <w:sz w:val="20"/>
        </w:rPr>
        <w:t>veri sahiplerinin yalnızca kişisel verilerin işlenme amaçlarının gerektirdiği sürece teşhis</w:t>
      </w:r>
      <w:r>
        <w:rPr>
          <w:spacing w:val="-28"/>
          <w:sz w:val="20"/>
        </w:rPr>
        <w:t> </w:t>
      </w:r>
      <w:r>
        <w:rPr>
          <w:sz w:val="20"/>
        </w:rPr>
        <w:t>edilmesini</w:t>
      </w:r>
    </w:p>
    <w:p>
      <w:pPr>
        <w:pStyle w:val="BodyText"/>
        <w:spacing w:before="2"/>
        <w:rPr>
          <w:sz w:val="29"/>
        </w:rPr>
      </w:pPr>
      <w:r>
        <w:rPr/>
        <w:pict>
          <v:line style="position:absolute;mso-position-horizontal-relative:page;mso-position-vertical-relative:paragraph;z-index:1144;mso-wrap-distance-left:0;mso-wrap-distance-right:0" from="36pt,19.156891pt" to="180.05pt,19.156891pt" stroked="true" strokeweight=".71997pt" strokecolor="#000000">
            <v:stroke dashstyle="solid"/>
            <w10:wrap type="topAndBottom"/>
          </v:line>
        </w:pict>
      </w:r>
    </w:p>
    <w:p>
      <w:pPr>
        <w:spacing w:line="146" w:lineRule="auto" w:before="101"/>
        <w:ind w:left="952" w:right="830" w:hanging="226"/>
        <w:jc w:val="left"/>
        <w:rPr>
          <w:rFonts w:ascii="メイリオ" w:hAnsi="メイリオ"/>
          <w:sz w:val="17"/>
        </w:rPr>
      </w:pPr>
      <w:r>
        <w:rPr>
          <w:rFonts w:ascii="Calibri" w:hAnsi="Calibri"/>
          <w:position w:val="10"/>
          <w:sz w:val="14"/>
        </w:rPr>
        <w:t>1 </w:t>
      </w:r>
      <w:r>
        <w:rPr>
          <w:rFonts w:ascii="メイリオ" w:hAnsi="メイリオ"/>
          <w:sz w:val="17"/>
        </w:rPr>
        <w:t>Bilgi Toplumu hizmetlerine ili</w:t>
      </w:r>
      <w:r>
        <w:rPr>
          <w:rFonts w:ascii="Times New Roman" w:hAnsi="Times New Roman"/>
          <w:sz w:val="17"/>
        </w:rPr>
        <w:t>ş</w:t>
      </w:r>
      <w:r>
        <w:rPr>
          <w:rFonts w:ascii="メイリオ" w:hAnsi="メイリオ"/>
          <w:sz w:val="17"/>
        </w:rPr>
        <w:t>kin teknik d</w:t>
      </w:r>
      <w:r>
        <w:rPr>
          <w:rFonts w:ascii="Times New Roman" w:hAnsi="Times New Roman"/>
          <w:sz w:val="17"/>
        </w:rPr>
        <w:t>ü</w:t>
      </w:r>
      <w:r>
        <w:rPr>
          <w:rFonts w:ascii="メイリオ" w:hAnsi="メイリオ"/>
          <w:sz w:val="17"/>
        </w:rPr>
        <w:t>zenlemeler ve kurallar alan</w:t>
      </w:r>
      <w:r>
        <w:rPr>
          <w:rFonts w:ascii="Times New Roman" w:hAnsi="Times New Roman"/>
          <w:sz w:val="17"/>
        </w:rPr>
        <w:t>ı</w:t>
      </w:r>
      <w:r>
        <w:rPr>
          <w:rFonts w:ascii="メイリオ" w:hAnsi="メイリオ"/>
          <w:sz w:val="17"/>
        </w:rPr>
        <w:t>nda bilgi sa</w:t>
      </w:r>
      <w:r>
        <w:rPr>
          <w:rFonts w:ascii="Times New Roman" w:hAnsi="Times New Roman"/>
          <w:sz w:val="17"/>
        </w:rPr>
        <w:t>ğ</w:t>
      </w:r>
      <w:r>
        <w:rPr>
          <w:rFonts w:ascii="メイリオ" w:hAnsi="メイリオ"/>
          <w:sz w:val="17"/>
        </w:rPr>
        <w:t>lanmas</w:t>
      </w:r>
      <w:r>
        <w:rPr>
          <w:rFonts w:ascii="Times New Roman" w:hAnsi="Times New Roman"/>
          <w:sz w:val="17"/>
        </w:rPr>
        <w:t>ı</w:t>
      </w:r>
      <w:r>
        <w:rPr>
          <w:rFonts w:ascii="メイリオ" w:hAnsi="メイリオ"/>
          <w:sz w:val="17"/>
        </w:rPr>
        <w:t>na y</w:t>
      </w:r>
      <w:r>
        <w:rPr>
          <w:rFonts w:ascii="Times New Roman" w:hAnsi="Times New Roman"/>
          <w:sz w:val="17"/>
        </w:rPr>
        <w:t>ö</w:t>
      </w:r>
      <w:r>
        <w:rPr>
          <w:rFonts w:ascii="メイリオ" w:hAnsi="メイリオ"/>
          <w:sz w:val="17"/>
        </w:rPr>
        <w:t>nelik bir usul belirleyen 9 Eyl</w:t>
      </w:r>
      <w:r>
        <w:rPr>
          <w:rFonts w:ascii="Times New Roman" w:hAnsi="Times New Roman"/>
          <w:sz w:val="17"/>
        </w:rPr>
        <w:t>ü</w:t>
      </w:r>
      <w:r>
        <w:rPr>
          <w:rFonts w:ascii="メイリオ" w:hAnsi="メイリオ"/>
          <w:sz w:val="17"/>
        </w:rPr>
        <w:t>l 2015 tarihli ve (AB) 2015/1535 say</w:t>
      </w:r>
      <w:r>
        <w:rPr>
          <w:rFonts w:ascii="Times New Roman" w:hAnsi="Times New Roman"/>
          <w:sz w:val="17"/>
        </w:rPr>
        <w:t>ı</w:t>
      </w:r>
      <w:r>
        <w:rPr>
          <w:rFonts w:ascii="メイリオ" w:hAnsi="メイリオ"/>
          <w:sz w:val="17"/>
        </w:rPr>
        <w:t>l</w:t>
      </w:r>
      <w:r>
        <w:rPr>
          <w:rFonts w:ascii="Times New Roman" w:hAnsi="Times New Roman"/>
          <w:sz w:val="17"/>
        </w:rPr>
        <w:t>ı </w:t>
      </w:r>
      <w:r>
        <w:rPr>
          <w:rFonts w:ascii="メイリオ" w:hAnsi="メイリオ"/>
          <w:sz w:val="17"/>
        </w:rPr>
        <w:t>Avrupa Parlamentosu ve Konsey Direktifi (ABRG L 241, 17.9.2015, s. 1).</w:t>
      </w:r>
    </w:p>
    <w:p>
      <w:pPr>
        <w:spacing w:after="0" w:line="146" w:lineRule="auto"/>
        <w:jc w:val="left"/>
        <w:rPr>
          <w:rFonts w:ascii="メイリオ" w:hAnsi="メイリオ"/>
          <w:sz w:val="17"/>
        </w:rPr>
        <w:sectPr>
          <w:pgSz w:w="11930" w:h="16850"/>
          <w:pgMar w:header="961" w:footer="0" w:top="1240" w:bottom="280" w:left="620" w:right="600"/>
        </w:sectPr>
      </w:pPr>
    </w:p>
    <w:p>
      <w:pPr>
        <w:pStyle w:val="BodyText"/>
        <w:spacing w:line="20" w:lineRule="exact"/>
        <w:ind w:left="204"/>
        <w:rPr>
          <w:rFonts w:ascii="メイリオ"/>
          <w:sz w:val="2"/>
        </w:rPr>
      </w:pPr>
      <w:r>
        <w:rPr>
          <w:rFonts w:ascii="メイリオ"/>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rFonts w:ascii="メイリオ"/>
          <w:sz w:val="2"/>
        </w:rPr>
      </w:r>
    </w:p>
    <w:p>
      <w:pPr>
        <w:pStyle w:val="BodyText"/>
        <w:spacing w:line="276" w:lineRule="auto" w:before="114"/>
        <w:ind w:left="1022" w:right="695" w:hanging="92"/>
        <w:jc w:val="both"/>
      </w:pPr>
      <w:r>
        <w:rPr/>
        <w:t>sağlayan bir şekilde tutulur; 89(1) maddesi uyarınca yalnızca kamu yararına arşivleme amaçlarıyla, bilimsel veya tarihi araştırma amaçlarıyla ya da istatistiki amaçlarla işlendikleri sürece ve veri sahibinin hakları ve özgürlüklerinin güvence altına alınmasına için bu Tüzük uyarınca gereken uygun teknik ve düzenlemeye ilişkin tedbirlerin uygulanmasına tabi olarak, kişisel veriler daha uzun süreler boyunca saklanabilir (’saklama süresinin</w:t>
      </w:r>
      <w:r>
        <w:rPr>
          <w:spacing w:val="-6"/>
        </w:rPr>
        <w:t> </w:t>
      </w:r>
      <w:r>
        <w:rPr/>
        <w:t>sınırlandırılması’);</w:t>
      </w:r>
    </w:p>
    <w:p>
      <w:pPr>
        <w:pStyle w:val="BodyText"/>
        <w:spacing w:before="3"/>
        <w:rPr>
          <w:sz w:val="24"/>
        </w:rPr>
      </w:pPr>
    </w:p>
    <w:p>
      <w:pPr>
        <w:pStyle w:val="ListParagraph"/>
        <w:numPr>
          <w:ilvl w:val="0"/>
          <w:numId w:val="7"/>
        </w:numPr>
        <w:tabs>
          <w:tab w:pos="996" w:val="left" w:leader="none"/>
        </w:tabs>
        <w:spacing w:line="276" w:lineRule="auto" w:before="0" w:after="0"/>
        <w:ind w:left="1022" w:right="699" w:hanging="296"/>
        <w:jc w:val="both"/>
        <w:rPr>
          <w:sz w:val="20"/>
        </w:rPr>
      </w:pPr>
      <w:r>
        <w:rPr>
          <w:sz w:val="20"/>
        </w:rPr>
        <w:t>yetkisiz veya yasa dışı işlemeye karşı ve kazara kayba, imhaya veya tahribe karşı koruma da dahil olmak üzere teknik veya düzenlemeye ilişkin uygun tedbirlerin kullanılması suretiyle kişisel verilerin güvenliğini sağlayan bir şekilde işlenir (‘bütünlük ve</w:t>
      </w:r>
      <w:r>
        <w:rPr>
          <w:spacing w:val="-6"/>
          <w:sz w:val="20"/>
        </w:rPr>
        <w:t> </w:t>
      </w:r>
      <w:r>
        <w:rPr>
          <w:sz w:val="20"/>
        </w:rPr>
        <w:t>gizlilik’).</w:t>
      </w:r>
    </w:p>
    <w:p>
      <w:pPr>
        <w:pStyle w:val="BodyText"/>
        <w:spacing w:before="3"/>
        <w:rPr>
          <w:sz w:val="23"/>
        </w:rPr>
      </w:pPr>
    </w:p>
    <w:p>
      <w:pPr>
        <w:pStyle w:val="ListParagraph"/>
        <w:numPr>
          <w:ilvl w:val="0"/>
          <w:numId w:val="6"/>
        </w:numPr>
        <w:tabs>
          <w:tab w:pos="1098" w:val="left" w:leader="none"/>
          <w:tab w:pos="1099" w:val="left" w:leader="none"/>
          <w:tab w:pos="2115" w:val="left" w:leader="none"/>
          <w:tab w:pos="2487" w:val="left" w:leader="none"/>
          <w:tab w:pos="3548" w:val="left" w:leader="none"/>
          <w:tab w:pos="4294" w:val="left" w:leader="none"/>
          <w:tab w:pos="5769" w:val="left" w:leader="none"/>
          <w:tab w:pos="6973" w:val="left" w:leader="none"/>
          <w:tab w:pos="7388" w:val="left" w:leader="none"/>
          <w:tab w:pos="8040" w:val="left" w:leader="none"/>
          <w:tab w:pos="8788" w:val="left" w:leader="none"/>
        </w:tabs>
        <w:spacing w:line="276" w:lineRule="auto" w:before="0" w:after="0"/>
        <w:ind w:left="726" w:right="785" w:firstLine="0"/>
        <w:jc w:val="left"/>
        <w:rPr>
          <w:sz w:val="20"/>
        </w:rPr>
      </w:pPr>
      <w:r>
        <w:rPr>
          <w:sz w:val="20"/>
        </w:rPr>
        <w:t>Kontrolör</w:t>
        <w:tab/>
        <w:t>1.</w:t>
        <w:tab/>
        <w:t>paragrafa</w:t>
        <w:tab/>
        <w:t>uygun</w:t>
        <w:tab/>
        <w:t>davranmaktan</w:t>
        <w:tab/>
        <w:t>sorumludur</w:t>
        <w:tab/>
        <w:t>ve</w:t>
        <w:tab/>
        <w:t>buna</w:t>
        <w:tab/>
        <w:t>uygun</w:t>
        <w:tab/>
        <w:t>davrandığını gösterebilmelidir (’hesap</w:t>
      </w:r>
      <w:r>
        <w:rPr>
          <w:spacing w:val="-1"/>
          <w:sz w:val="20"/>
        </w:rPr>
        <w:t> </w:t>
      </w:r>
      <w:r>
        <w:rPr>
          <w:sz w:val="20"/>
        </w:rPr>
        <w:t>verebilirlik’).</w:t>
      </w:r>
    </w:p>
    <w:p>
      <w:pPr>
        <w:pStyle w:val="BodyText"/>
        <w:rPr>
          <w:sz w:val="22"/>
        </w:rPr>
      </w:pPr>
    </w:p>
    <w:p>
      <w:pPr>
        <w:pStyle w:val="BodyText"/>
        <w:spacing w:before="1"/>
        <w:rPr>
          <w:sz w:val="25"/>
        </w:rPr>
      </w:pPr>
    </w:p>
    <w:p>
      <w:pPr>
        <w:pStyle w:val="BodyText"/>
        <w:spacing w:line="276" w:lineRule="auto" w:before="1"/>
        <w:ind w:left="5035" w:right="5053"/>
        <w:jc w:val="center"/>
      </w:pPr>
      <w:r>
        <w:rPr/>
        <w:t>Madde 6</w:t>
      </w:r>
    </w:p>
    <w:p>
      <w:pPr>
        <w:pStyle w:val="BodyText"/>
        <w:rPr>
          <w:sz w:val="22"/>
        </w:rPr>
      </w:pPr>
    </w:p>
    <w:p>
      <w:pPr>
        <w:pStyle w:val="BodyText"/>
        <w:rPr>
          <w:sz w:val="25"/>
        </w:rPr>
      </w:pPr>
    </w:p>
    <w:p>
      <w:pPr>
        <w:pStyle w:val="Heading1"/>
        <w:spacing w:line="276" w:lineRule="auto" w:before="1"/>
        <w:ind w:left="4449" w:right="4475" w:firstLine="2"/>
      </w:pPr>
      <w:r>
        <w:rPr/>
        <w:t>İşleme faaliyetinin hukuka uygunluğu</w:t>
      </w:r>
    </w:p>
    <w:p>
      <w:pPr>
        <w:pStyle w:val="BodyText"/>
        <w:rPr>
          <w:b/>
          <w:sz w:val="22"/>
        </w:rPr>
      </w:pPr>
    </w:p>
    <w:p>
      <w:pPr>
        <w:pStyle w:val="BodyText"/>
        <w:spacing w:before="7"/>
        <w:rPr>
          <w:b/>
          <w:sz w:val="24"/>
        </w:rPr>
      </w:pPr>
    </w:p>
    <w:p>
      <w:pPr>
        <w:pStyle w:val="ListParagraph"/>
        <w:numPr>
          <w:ilvl w:val="0"/>
          <w:numId w:val="8"/>
        </w:numPr>
        <w:tabs>
          <w:tab w:pos="991" w:val="left" w:leader="none"/>
        </w:tabs>
        <w:spacing w:line="278" w:lineRule="auto" w:before="0" w:after="0"/>
        <w:ind w:left="726" w:right="2501" w:firstLine="0"/>
        <w:jc w:val="left"/>
        <w:rPr>
          <w:sz w:val="20"/>
        </w:rPr>
      </w:pPr>
      <w:r>
        <w:rPr>
          <w:sz w:val="20"/>
        </w:rPr>
        <w:t>İşleme faaliyeti, ancak aşağıdaki hususlardan en az biri geçerli olduğunda ve olduğu ölçüde, hukuka uygundur:</w:t>
      </w:r>
    </w:p>
    <w:p>
      <w:pPr>
        <w:pStyle w:val="ListParagraph"/>
        <w:numPr>
          <w:ilvl w:val="0"/>
          <w:numId w:val="9"/>
        </w:numPr>
        <w:tabs>
          <w:tab w:pos="1540" w:val="left" w:leader="none"/>
          <w:tab w:pos="1541" w:val="left" w:leader="none"/>
        </w:tabs>
        <w:spacing w:line="276" w:lineRule="auto" w:before="0" w:after="0"/>
        <w:ind w:left="726" w:right="918" w:firstLine="0"/>
        <w:jc w:val="left"/>
        <w:rPr>
          <w:sz w:val="20"/>
        </w:rPr>
      </w:pPr>
      <w:r>
        <w:rPr>
          <w:sz w:val="20"/>
        </w:rPr>
        <w:t>veri sahibinin bir ya da daha fazla sayıda spesifik amaca yönelik olarak kişisel verilerinin işlenmesine onay</w:t>
      </w:r>
      <w:r>
        <w:rPr>
          <w:spacing w:val="-3"/>
          <w:sz w:val="20"/>
        </w:rPr>
        <w:t> </w:t>
      </w:r>
      <w:r>
        <w:rPr>
          <w:sz w:val="20"/>
        </w:rPr>
        <w:t>vermesi;</w:t>
      </w:r>
    </w:p>
    <w:p>
      <w:pPr>
        <w:pStyle w:val="BodyText"/>
        <w:spacing w:before="4"/>
        <w:rPr>
          <w:sz w:val="24"/>
        </w:rPr>
      </w:pPr>
    </w:p>
    <w:p>
      <w:pPr>
        <w:pStyle w:val="ListParagraph"/>
        <w:numPr>
          <w:ilvl w:val="0"/>
          <w:numId w:val="9"/>
        </w:numPr>
        <w:tabs>
          <w:tab w:pos="1023" w:val="left" w:leader="none"/>
        </w:tabs>
        <w:spacing w:line="278" w:lineRule="auto" w:before="0" w:after="0"/>
        <w:ind w:left="1022" w:right="703" w:hanging="296"/>
        <w:jc w:val="both"/>
        <w:rPr>
          <w:sz w:val="20"/>
        </w:rPr>
      </w:pPr>
      <w:r>
        <w:rPr>
          <w:sz w:val="20"/>
        </w:rPr>
        <w:t>veri sahibinin taraf olduğu bir sözleşmenin uygulanması veya bir sözleşme yapılmadan önce veri sahibinin talebiyle adımlar atılması için, işleme faaliyetinin gerekli</w:t>
      </w:r>
      <w:r>
        <w:rPr>
          <w:spacing w:val="-14"/>
          <w:sz w:val="20"/>
        </w:rPr>
        <w:t> </w:t>
      </w:r>
      <w:r>
        <w:rPr>
          <w:sz w:val="20"/>
        </w:rPr>
        <w:t>olması;</w:t>
      </w:r>
    </w:p>
    <w:p>
      <w:pPr>
        <w:pStyle w:val="BodyText"/>
        <w:spacing w:before="10"/>
        <w:rPr>
          <w:sz w:val="22"/>
        </w:rPr>
      </w:pPr>
    </w:p>
    <w:p>
      <w:pPr>
        <w:pStyle w:val="ListParagraph"/>
        <w:numPr>
          <w:ilvl w:val="0"/>
          <w:numId w:val="9"/>
        </w:numPr>
        <w:tabs>
          <w:tab w:pos="1540" w:val="left" w:leader="none"/>
          <w:tab w:pos="1541" w:val="left" w:leader="none"/>
        </w:tabs>
        <w:spacing w:line="276" w:lineRule="auto" w:before="0" w:after="0"/>
        <w:ind w:left="726" w:right="2344" w:firstLine="0"/>
        <w:jc w:val="left"/>
        <w:rPr>
          <w:sz w:val="20"/>
        </w:rPr>
      </w:pPr>
      <w:r>
        <w:rPr>
          <w:sz w:val="20"/>
        </w:rPr>
        <w:t>kontrolörün tabi olduğu bir yasal yükümlülüğe uygunluk sağlanması amacı ile işleme faaliyetinin gerekli</w:t>
      </w:r>
      <w:r>
        <w:rPr>
          <w:spacing w:val="-5"/>
          <w:sz w:val="20"/>
        </w:rPr>
        <w:t> </w:t>
      </w:r>
      <w:r>
        <w:rPr>
          <w:sz w:val="20"/>
        </w:rPr>
        <w:t>olması;</w:t>
      </w:r>
    </w:p>
    <w:p>
      <w:pPr>
        <w:pStyle w:val="BodyText"/>
        <w:spacing w:before="8"/>
        <w:rPr>
          <w:sz w:val="23"/>
        </w:rPr>
      </w:pPr>
    </w:p>
    <w:p>
      <w:pPr>
        <w:pStyle w:val="ListParagraph"/>
        <w:numPr>
          <w:ilvl w:val="0"/>
          <w:numId w:val="9"/>
        </w:numPr>
        <w:tabs>
          <w:tab w:pos="1042" w:val="left" w:leader="none"/>
        </w:tabs>
        <w:spacing w:line="276" w:lineRule="auto" w:before="0" w:after="0"/>
        <w:ind w:left="726" w:right="1346" w:firstLine="0"/>
        <w:jc w:val="left"/>
        <w:rPr>
          <w:sz w:val="20"/>
        </w:rPr>
      </w:pPr>
      <w:r>
        <w:rPr>
          <w:sz w:val="20"/>
        </w:rPr>
        <w:t>veri sahibinin veya başka bir gerçek kişinin hayati menfaatlerinin korunması amacı ile işleme faaliyetinin gerekli</w:t>
      </w:r>
      <w:r>
        <w:rPr>
          <w:spacing w:val="-4"/>
          <w:sz w:val="20"/>
        </w:rPr>
        <w:t> </w:t>
      </w:r>
      <w:r>
        <w:rPr>
          <w:sz w:val="20"/>
        </w:rPr>
        <w:t>olması;</w:t>
      </w:r>
    </w:p>
    <w:p>
      <w:pPr>
        <w:pStyle w:val="BodyText"/>
        <w:spacing w:before="7"/>
        <w:rPr>
          <w:sz w:val="24"/>
        </w:rPr>
      </w:pPr>
    </w:p>
    <w:p>
      <w:pPr>
        <w:pStyle w:val="ListParagraph"/>
        <w:numPr>
          <w:ilvl w:val="0"/>
          <w:numId w:val="9"/>
        </w:numPr>
        <w:tabs>
          <w:tab w:pos="1095" w:val="left" w:leader="none"/>
        </w:tabs>
        <w:spacing w:line="278" w:lineRule="auto" w:before="0" w:after="0"/>
        <w:ind w:left="1022" w:right="703" w:hanging="296"/>
        <w:jc w:val="both"/>
        <w:rPr>
          <w:sz w:val="20"/>
        </w:rPr>
      </w:pPr>
      <w:r>
        <w:rPr>
          <w:sz w:val="20"/>
        </w:rPr>
        <w:t>kamu yararına gerçekleştirilen bir görevin yerine getirilmesi veya kontrolöre verilen resmi bir yetkinin uygulanması hususunda işleme faaliyetinin gerekli</w:t>
      </w:r>
      <w:r>
        <w:rPr>
          <w:spacing w:val="-8"/>
          <w:sz w:val="20"/>
        </w:rPr>
        <w:t> </w:t>
      </w:r>
      <w:r>
        <w:rPr>
          <w:sz w:val="20"/>
        </w:rPr>
        <w:t>olması;</w:t>
      </w:r>
    </w:p>
    <w:p>
      <w:pPr>
        <w:pStyle w:val="BodyText"/>
        <w:rPr>
          <w:sz w:val="22"/>
        </w:rPr>
      </w:pPr>
    </w:p>
    <w:p>
      <w:pPr>
        <w:pStyle w:val="BodyText"/>
        <w:spacing w:before="7"/>
        <w:rPr>
          <w:sz w:val="23"/>
        </w:rPr>
      </w:pPr>
    </w:p>
    <w:p>
      <w:pPr>
        <w:pStyle w:val="ListParagraph"/>
        <w:numPr>
          <w:ilvl w:val="0"/>
          <w:numId w:val="9"/>
        </w:numPr>
        <w:tabs>
          <w:tab w:pos="1023" w:val="left" w:leader="none"/>
        </w:tabs>
        <w:spacing w:line="276" w:lineRule="auto" w:before="0" w:after="0"/>
        <w:ind w:left="1022" w:right="690" w:hanging="296"/>
        <w:jc w:val="both"/>
        <w:rPr>
          <w:sz w:val="20"/>
        </w:rPr>
      </w:pPr>
      <w:r>
        <w:rPr>
          <w:sz w:val="20"/>
        </w:rPr>
        <w:t>özellikle veri sahibinin çocuk olması halinde veri sahibinin kişisel verilerin korunmasını gerektiren menfaatleri veya temel hakları ve özgürlüklerinin bir kontrolör veya üçüncü bir kişi tarafından gözetilen meşru menfaatlere ağır basması haricinde, söz konusu menfaatler doğrultusunda işleme faaliyetinin gerekli</w:t>
      </w:r>
      <w:r>
        <w:rPr>
          <w:spacing w:val="-4"/>
          <w:sz w:val="20"/>
        </w:rPr>
        <w:t> </w:t>
      </w:r>
      <w:r>
        <w:rPr>
          <w:sz w:val="20"/>
        </w:rPr>
        <w:t>olması.</w:t>
      </w:r>
    </w:p>
    <w:p>
      <w:pPr>
        <w:pStyle w:val="BodyText"/>
        <w:spacing w:before="3"/>
        <w:rPr>
          <w:sz w:val="24"/>
        </w:rPr>
      </w:pPr>
    </w:p>
    <w:p>
      <w:pPr>
        <w:pStyle w:val="BodyText"/>
        <w:spacing w:line="278" w:lineRule="auto"/>
        <w:ind w:left="726" w:right="830"/>
      </w:pPr>
      <w:r>
        <w:rPr/>
        <w:t>İlk alt paragrafın (f) bendi kamu kuruluşları tarafından görevlerinin yerine getirilmesi hususunda gerçekleştirilen işleme faaliyetine uygulanmaz.</w:t>
      </w:r>
    </w:p>
    <w:p>
      <w:pPr>
        <w:pStyle w:val="BodyText"/>
        <w:spacing w:before="8"/>
        <w:rPr>
          <w:sz w:val="22"/>
        </w:rPr>
      </w:pPr>
    </w:p>
    <w:p>
      <w:pPr>
        <w:pStyle w:val="ListParagraph"/>
        <w:numPr>
          <w:ilvl w:val="0"/>
          <w:numId w:val="8"/>
        </w:numPr>
        <w:tabs>
          <w:tab w:pos="996" w:val="left" w:leader="none"/>
        </w:tabs>
        <w:spacing w:line="276" w:lineRule="auto" w:before="1" w:after="0"/>
        <w:ind w:left="726" w:right="690" w:firstLine="0"/>
        <w:jc w:val="both"/>
        <w:rPr>
          <w:sz w:val="20"/>
        </w:rPr>
      </w:pPr>
      <w:r>
        <w:rPr>
          <w:sz w:val="20"/>
        </w:rPr>
        <w:t>Üye devletler, Bölüm IX’te belirtilen diğer spesifik işleme durumları da dahil olmak üzere işleme faaliyetine ilişkin daha kati gereklilikler ve hukuka uygun ve adil işlemenin sağlanmasına yönelik diğer tedbirler belirlenmesi suretiyle, bu Tüzük’ün işleme faaliyetine ilişkin kurallarının uygulamasını 1. paragrafın (c) ve (e) bentlerine uygun olacak şekilde uyarlamak üzere daha spesifik hükümler uygulamaya devam edebilir veya uygulamaya</w:t>
      </w:r>
      <w:r>
        <w:rPr>
          <w:spacing w:val="3"/>
          <w:sz w:val="20"/>
        </w:rPr>
        <w:t> </w:t>
      </w:r>
      <w:r>
        <w:rPr>
          <w:sz w:val="20"/>
        </w:rPr>
        <w:t>koyabilir.</w:t>
      </w:r>
    </w:p>
    <w:p>
      <w:pPr>
        <w:pStyle w:val="BodyText"/>
        <w:spacing w:before="1"/>
        <w:rPr>
          <w:sz w:val="23"/>
        </w:rPr>
      </w:pPr>
    </w:p>
    <w:p>
      <w:pPr>
        <w:pStyle w:val="ListParagraph"/>
        <w:numPr>
          <w:ilvl w:val="0"/>
          <w:numId w:val="8"/>
        </w:numPr>
        <w:tabs>
          <w:tab w:pos="948" w:val="left" w:leader="none"/>
        </w:tabs>
        <w:spacing w:line="240" w:lineRule="auto" w:before="1" w:after="0"/>
        <w:ind w:left="947" w:right="0" w:hanging="221"/>
        <w:jc w:val="left"/>
        <w:rPr>
          <w:sz w:val="20"/>
        </w:rPr>
      </w:pPr>
      <w:r>
        <w:rPr>
          <w:sz w:val="20"/>
        </w:rPr>
        <w:t>1. paragrafın (c) ve (e) bentlerinde belirtilen işleme</w:t>
      </w:r>
      <w:r>
        <w:rPr>
          <w:spacing w:val="-7"/>
          <w:sz w:val="20"/>
        </w:rPr>
        <w:t> </w:t>
      </w:r>
      <w:r>
        <w:rPr>
          <w:sz w:val="20"/>
        </w:rPr>
        <w:t>dayanağı</w:t>
      </w:r>
    </w:p>
    <w:p>
      <w:pPr>
        <w:pStyle w:val="ListParagraph"/>
        <w:numPr>
          <w:ilvl w:val="0"/>
          <w:numId w:val="10"/>
        </w:numPr>
        <w:tabs>
          <w:tab w:pos="1027" w:val="left" w:leader="none"/>
        </w:tabs>
        <w:spacing w:line="240" w:lineRule="auto" w:before="34" w:after="0"/>
        <w:ind w:left="726" w:right="0" w:firstLine="0"/>
        <w:jc w:val="left"/>
        <w:rPr>
          <w:sz w:val="20"/>
        </w:rPr>
      </w:pPr>
      <w:r>
        <w:rPr>
          <w:sz w:val="20"/>
        </w:rPr>
        <w:t>Birlik hukuku</w:t>
      </w:r>
      <w:r>
        <w:rPr>
          <w:spacing w:val="0"/>
          <w:sz w:val="20"/>
        </w:rPr>
        <w:t> </w:t>
      </w:r>
      <w:r>
        <w:rPr>
          <w:sz w:val="20"/>
        </w:rPr>
        <w:t>veya</w:t>
      </w:r>
    </w:p>
    <w:p>
      <w:pPr>
        <w:spacing w:after="0" w:line="240" w:lineRule="auto"/>
        <w:jc w:val="left"/>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10"/>
        </w:numPr>
        <w:tabs>
          <w:tab w:pos="1027" w:val="left" w:leader="none"/>
        </w:tabs>
        <w:spacing w:line="309" w:lineRule="auto" w:before="97" w:after="0"/>
        <w:ind w:left="726" w:right="5972" w:firstLine="0"/>
        <w:jc w:val="left"/>
        <w:rPr>
          <w:sz w:val="20"/>
        </w:rPr>
      </w:pPr>
      <w:r>
        <w:rPr>
          <w:sz w:val="20"/>
        </w:rPr>
        <w:t>kontrolörün tabi olduğu üye devlet hukuku ile ortaya</w:t>
      </w:r>
      <w:r>
        <w:rPr>
          <w:spacing w:val="-1"/>
          <w:sz w:val="20"/>
        </w:rPr>
        <w:t> </w:t>
      </w:r>
      <w:r>
        <w:rPr>
          <w:sz w:val="20"/>
        </w:rPr>
        <w:t>konur.</w:t>
      </w:r>
    </w:p>
    <w:p>
      <w:pPr>
        <w:pStyle w:val="BodyText"/>
        <w:spacing w:before="11"/>
        <w:rPr>
          <w:sz w:val="21"/>
        </w:rPr>
      </w:pPr>
    </w:p>
    <w:p>
      <w:pPr>
        <w:pStyle w:val="BodyText"/>
        <w:spacing w:line="276" w:lineRule="auto"/>
        <w:ind w:left="726" w:right="688"/>
        <w:jc w:val="both"/>
      </w:pPr>
      <w:r>
        <w:rPr/>
        <w:t>İşleme amacı söz konusu yasal dayanakta belirlenir veya, 1. paragrafın (e) bendinde atıfta bulunulan işleme faaliyeti ile ilgili olarak, kamu yararına gerçekleştirilen bir görevin yerine getirilmesi veya kontrolöre verilen resmi bir yetkinin uygulanması hususunda gereklidir. Söz konusu yasal dayanak bu Tüzük kurallarının uygulamasının uyarlanmasına yönelik spesifik hükümler ihtiva edebilir: bunun yanı sıra, kontrolör tarafından gerçekleştirilen işleme faaliyetinin hukuka uygunluğunu düzenleyen genel koşullar; işleme faaliyetine tabi veri türleri; ilgili veri sahipleri; kişisel verilerin açıklanabileceği kuruluşlar ve açıklanma amaçları; amacın sınırlandırılması; saklama süreleri ve Bölüm IX’te belirtilen diğer spesifik işleme durumlarına yönelik tedbirler gibi hukuka uygun ve adil işlemenin sağlanmasına yönelik tedbirler de dahil olmak üzere işleme faaliyetleri ve işleme usulleri. Birlik veya üye devlet hukuku kamu yararı hedefini karşılar ve gözetilen meşru amaçla</w:t>
      </w:r>
      <w:r>
        <w:rPr>
          <w:spacing w:val="-7"/>
        </w:rPr>
        <w:t> </w:t>
      </w:r>
      <w:r>
        <w:rPr/>
        <w:t>orantılıdır.</w:t>
      </w:r>
    </w:p>
    <w:p>
      <w:pPr>
        <w:pStyle w:val="BodyText"/>
        <w:rPr>
          <w:sz w:val="22"/>
        </w:rPr>
      </w:pPr>
    </w:p>
    <w:p>
      <w:pPr>
        <w:pStyle w:val="BodyText"/>
        <w:spacing w:before="9"/>
        <w:rPr>
          <w:sz w:val="24"/>
        </w:rPr>
      </w:pPr>
    </w:p>
    <w:p>
      <w:pPr>
        <w:pStyle w:val="ListParagraph"/>
        <w:numPr>
          <w:ilvl w:val="0"/>
          <w:numId w:val="8"/>
        </w:numPr>
        <w:tabs>
          <w:tab w:pos="996" w:val="left" w:leader="none"/>
        </w:tabs>
        <w:spacing w:line="276" w:lineRule="auto" w:before="0" w:after="0"/>
        <w:ind w:left="726" w:right="688" w:firstLine="0"/>
        <w:jc w:val="both"/>
        <w:rPr>
          <w:sz w:val="20"/>
        </w:rPr>
      </w:pPr>
      <w:r>
        <w:rPr>
          <w:sz w:val="20"/>
        </w:rPr>
        <w:t>Kişisel verilerin toplanma amacı dışında bir amaca yönelik olarak yapılan işleme faaliyetinin veri sahibinin rızasına veya 23(1) maddesinde atıfta bulunulan hedeflerin güvence altına alınmasına yönelik olarak demokratik bir toplumda gerekli ve ölçülü bir tedbir teşkil eden bir Birlik veya üye devlet kanununa dayanmaması durumunda, kontrolör, başka bir amaca yönelik işleme faaliyetinin kişisel verilerin asıl toplanma amacına uygun olup olmadığını değerlendirmek üzere, bunun yanı sıra aşağıdaki hususları dikkate</w:t>
      </w:r>
      <w:r>
        <w:rPr>
          <w:spacing w:val="-3"/>
          <w:sz w:val="20"/>
        </w:rPr>
        <w:t> </w:t>
      </w:r>
      <w:r>
        <w:rPr>
          <w:sz w:val="20"/>
        </w:rPr>
        <w:t>alır:</w:t>
      </w:r>
    </w:p>
    <w:p>
      <w:pPr>
        <w:pStyle w:val="BodyText"/>
        <w:spacing w:before="6"/>
        <w:rPr>
          <w:sz w:val="23"/>
        </w:rPr>
      </w:pPr>
    </w:p>
    <w:p>
      <w:pPr>
        <w:pStyle w:val="ListParagraph"/>
        <w:numPr>
          <w:ilvl w:val="0"/>
          <w:numId w:val="11"/>
        </w:numPr>
        <w:tabs>
          <w:tab w:pos="1027" w:val="left" w:leader="none"/>
        </w:tabs>
        <w:spacing w:line="276" w:lineRule="auto" w:before="0" w:after="0"/>
        <w:ind w:left="1022" w:right="1453" w:hanging="296"/>
        <w:jc w:val="left"/>
        <w:rPr>
          <w:sz w:val="20"/>
        </w:rPr>
      </w:pPr>
      <w:r>
        <w:rPr>
          <w:sz w:val="20"/>
        </w:rPr>
        <w:t>kişisel verilerin toplanma amaçları ile planlanan diğer işleme amaçları arasındaki herhangi bir bağlantı;</w:t>
      </w:r>
    </w:p>
    <w:p>
      <w:pPr>
        <w:pStyle w:val="BodyText"/>
        <w:spacing w:before="6"/>
        <w:rPr>
          <w:sz w:val="23"/>
        </w:rPr>
      </w:pPr>
    </w:p>
    <w:p>
      <w:pPr>
        <w:pStyle w:val="ListParagraph"/>
        <w:numPr>
          <w:ilvl w:val="0"/>
          <w:numId w:val="11"/>
        </w:numPr>
        <w:tabs>
          <w:tab w:pos="1027" w:val="left" w:leader="none"/>
        </w:tabs>
        <w:spacing w:line="240" w:lineRule="auto" w:before="1" w:after="0"/>
        <w:ind w:left="1026" w:right="0" w:hanging="300"/>
        <w:jc w:val="both"/>
        <w:rPr>
          <w:sz w:val="20"/>
        </w:rPr>
      </w:pPr>
      <w:r>
        <w:rPr>
          <w:sz w:val="20"/>
        </w:rPr>
        <w:t>veri sahipleri ve kontrolör arasındaki ilişki başta olmak üzere kişisel verilerin toplandığı</w:t>
      </w:r>
      <w:r>
        <w:rPr>
          <w:spacing w:val="-27"/>
          <w:sz w:val="20"/>
        </w:rPr>
        <w:t> </w:t>
      </w:r>
      <w:r>
        <w:rPr>
          <w:sz w:val="20"/>
        </w:rPr>
        <w:t>bağlam;</w:t>
      </w:r>
    </w:p>
    <w:p>
      <w:pPr>
        <w:pStyle w:val="BodyText"/>
        <w:spacing w:before="3"/>
        <w:rPr>
          <w:sz w:val="26"/>
        </w:rPr>
      </w:pPr>
    </w:p>
    <w:p>
      <w:pPr>
        <w:pStyle w:val="ListParagraph"/>
        <w:numPr>
          <w:ilvl w:val="0"/>
          <w:numId w:val="11"/>
        </w:numPr>
        <w:tabs>
          <w:tab w:pos="1034" w:val="left" w:leader="none"/>
        </w:tabs>
        <w:spacing w:line="276" w:lineRule="auto" w:before="0" w:after="0"/>
        <w:ind w:left="726" w:right="691" w:firstLine="0"/>
        <w:jc w:val="both"/>
        <w:rPr>
          <w:sz w:val="20"/>
        </w:rPr>
      </w:pPr>
      <w:r>
        <w:rPr>
          <w:sz w:val="20"/>
        </w:rPr>
        <w:t>9. madde uyarınca özel kategorilerdeki kişisel verilerin işlenip işlenmediği veya 10. madde uyarınca mahkumiyet kararları ve ceza gerektiren suçlara ilişkin kişisel verilerin işlenip işlenmediği başta olmak üzere kişisel verilerin mahiyeti;</w:t>
      </w:r>
    </w:p>
    <w:p>
      <w:pPr>
        <w:pStyle w:val="BodyText"/>
        <w:spacing w:before="8"/>
        <w:rPr>
          <w:sz w:val="23"/>
        </w:rPr>
      </w:pPr>
    </w:p>
    <w:p>
      <w:pPr>
        <w:pStyle w:val="ListParagraph"/>
        <w:numPr>
          <w:ilvl w:val="0"/>
          <w:numId w:val="11"/>
        </w:numPr>
        <w:tabs>
          <w:tab w:pos="1027" w:val="left" w:leader="none"/>
        </w:tabs>
        <w:spacing w:line="240" w:lineRule="auto" w:before="0" w:after="0"/>
        <w:ind w:left="1026" w:right="0" w:hanging="300"/>
        <w:jc w:val="both"/>
        <w:rPr>
          <w:sz w:val="20"/>
        </w:rPr>
      </w:pPr>
      <w:r>
        <w:rPr>
          <w:sz w:val="20"/>
        </w:rPr>
        <w:t>planlanan diğer işleme faaliyetlerinin veri sahiplerine olası</w:t>
      </w:r>
      <w:r>
        <w:rPr>
          <w:spacing w:val="-4"/>
          <w:sz w:val="20"/>
        </w:rPr>
        <w:t> </w:t>
      </w:r>
      <w:r>
        <w:rPr>
          <w:sz w:val="20"/>
        </w:rPr>
        <w:t>yansımaları;</w:t>
      </w:r>
    </w:p>
    <w:p>
      <w:pPr>
        <w:pStyle w:val="BodyText"/>
        <w:spacing w:before="11"/>
        <w:rPr>
          <w:sz w:val="26"/>
        </w:rPr>
      </w:pPr>
    </w:p>
    <w:p>
      <w:pPr>
        <w:pStyle w:val="ListParagraph"/>
        <w:numPr>
          <w:ilvl w:val="0"/>
          <w:numId w:val="11"/>
        </w:numPr>
        <w:tabs>
          <w:tab w:pos="1027" w:val="left" w:leader="none"/>
        </w:tabs>
        <w:spacing w:line="240" w:lineRule="auto" w:before="0" w:after="0"/>
        <w:ind w:left="1026" w:right="0" w:hanging="300"/>
        <w:jc w:val="both"/>
        <w:rPr>
          <w:sz w:val="20"/>
        </w:rPr>
      </w:pPr>
      <w:r>
        <w:rPr>
          <w:sz w:val="20"/>
        </w:rPr>
        <w:t>şifreleme veya takma ad kullanımı da dahil olmak üzere uygun güvencelerin</w:t>
      </w:r>
      <w:r>
        <w:rPr>
          <w:spacing w:val="-11"/>
          <w:sz w:val="20"/>
        </w:rPr>
        <w:t> </w:t>
      </w:r>
      <w:r>
        <w:rPr>
          <w:sz w:val="20"/>
        </w:rPr>
        <w:t>bulunması.</w:t>
      </w:r>
    </w:p>
    <w:p>
      <w:pPr>
        <w:pStyle w:val="BodyText"/>
        <w:spacing w:before="4"/>
        <w:rPr>
          <w:sz w:val="27"/>
        </w:rPr>
      </w:pPr>
    </w:p>
    <w:p>
      <w:pPr>
        <w:pStyle w:val="BodyText"/>
        <w:spacing w:line="276" w:lineRule="auto"/>
        <w:ind w:left="5035" w:right="5053"/>
        <w:jc w:val="center"/>
      </w:pPr>
      <w:r>
        <w:rPr/>
        <w:t>Madde 7</w:t>
      </w:r>
    </w:p>
    <w:p>
      <w:pPr>
        <w:pStyle w:val="BodyText"/>
        <w:spacing w:before="11"/>
        <w:rPr>
          <w:sz w:val="22"/>
        </w:rPr>
      </w:pPr>
    </w:p>
    <w:p>
      <w:pPr>
        <w:pStyle w:val="Heading1"/>
        <w:ind w:left="2204"/>
      </w:pPr>
      <w:r>
        <w:rPr/>
        <w:t>Rıza koşulları</w:t>
      </w:r>
    </w:p>
    <w:p>
      <w:pPr>
        <w:pStyle w:val="BodyText"/>
        <w:rPr>
          <w:b/>
          <w:sz w:val="22"/>
        </w:rPr>
      </w:pPr>
    </w:p>
    <w:p>
      <w:pPr>
        <w:pStyle w:val="BodyText"/>
        <w:spacing w:before="8"/>
        <w:rPr>
          <w:b/>
          <w:sz w:val="27"/>
        </w:rPr>
      </w:pPr>
    </w:p>
    <w:p>
      <w:pPr>
        <w:pStyle w:val="ListParagraph"/>
        <w:numPr>
          <w:ilvl w:val="0"/>
          <w:numId w:val="12"/>
        </w:numPr>
        <w:tabs>
          <w:tab w:pos="1140" w:val="left" w:leader="none"/>
        </w:tabs>
        <w:spacing w:line="276" w:lineRule="auto" w:before="0" w:after="0"/>
        <w:ind w:left="726" w:right="702" w:firstLine="0"/>
        <w:jc w:val="both"/>
        <w:rPr>
          <w:sz w:val="20"/>
        </w:rPr>
      </w:pPr>
      <w:r>
        <w:rPr>
          <w:sz w:val="20"/>
        </w:rPr>
        <w:t>İşleme faaliyetinin rızaya dayandığı hallerde, kontrolör veri sahibinin kişisel verilerinin işlenmesine rıza göstermiş olduğunu</w:t>
      </w:r>
      <w:r>
        <w:rPr>
          <w:spacing w:val="0"/>
          <w:sz w:val="20"/>
        </w:rPr>
        <w:t> </w:t>
      </w:r>
      <w:r>
        <w:rPr>
          <w:sz w:val="20"/>
        </w:rPr>
        <w:t>gösterebilir.</w:t>
      </w:r>
    </w:p>
    <w:p>
      <w:pPr>
        <w:pStyle w:val="BodyText"/>
        <w:spacing w:before="1"/>
        <w:rPr>
          <w:sz w:val="23"/>
        </w:rPr>
      </w:pPr>
    </w:p>
    <w:p>
      <w:pPr>
        <w:pStyle w:val="ListParagraph"/>
        <w:numPr>
          <w:ilvl w:val="0"/>
          <w:numId w:val="12"/>
        </w:numPr>
        <w:tabs>
          <w:tab w:pos="1035" w:val="left" w:leader="none"/>
        </w:tabs>
        <w:spacing w:line="276" w:lineRule="auto" w:before="0" w:after="0"/>
        <w:ind w:left="726" w:right="697" w:firstLine="0"/>
        <w:jc w:val="both"/>
        <w:rPr>
          <w:sz w:val="20"/>
        </w:rPr>
      </w:pPr>
      <w:r>
        <w:rPr>
          <w:sz w:val="20"/>
        </w:rPr>
        <w:t>Veri sahibinin rızasının diğer hususlarla da ilgili olan yazılı bir beyan bağlamında verilmesi durumunda, rıza talebi diğer hususlardan açık bir şekilde ayırt edilebilecek bir şekilde, anlaşılır ve kolayca erişilebilir bir biçimde, açık ve sade bir dil kullanılarak sunulur. Söz konusu beyanın bu Tüzük açısından ihlal teşkil eden hiçbir kısmı bağlayıcı</w:t>
      </w:r>
      <w:r>
        <w:rPr>
          <w:spacing w:val="-3"/>
          <w:sz w:val="20"/>
        </w:rPr>
        <w:t> </w:t>
      </w:r>
      <w:r>
        <w:rPr>
          <w:sz w:val="20"/>
        </w:rPr>
        <w:t>değildir.</w:t>
      </w:r>
    </w:p>
    <w:p>
      <w:pPr>
        <w:pStyle w:val="BodyText"/>
        <w:rPr>
          <w:sz w:val="22"/>
        </w:rPr>
      </w:pPr>
    </w:p>
    <w:p>
      <w:pPr>
        <w:pStyle w:val="BodyText"/>
        <w:spacing w:before="10"/>
        <w:rPr>
          <w:sz w:val="24"/>
        </w:rPr>
      </w:pPr>
    </w:p>
    <w:p>
      <w:pPr>
        <w:pStyle w:val="ListParagraph"/>
        <w:numPr>
          <w:ilvl w:val="0"/>
          <w:numId w:val="12"/>
        </w:numPr>
        <w:tabs>
          <w:tab w:pos="991" w:val="left" w:leader="none"/>
        </w:tabs>
        <w:spacing w:line="276" w:lineRule="auto" w:before="0" w:after="0"/>
        <w:ind w:left="726" w:right="700" w:firstLine="0"/>
        <w:jc w:val="both"/>
        <w:rPr>
          <w:sz w:val="20"/>
        </w:rPr>
      </w:pPr>
      <w:r>
        <w:rPr>
          <w:sz w:val="20"/>
        </w:rPr>
        <w:t>Veri sahibinin istediği zaman rızasını geri çekme hakkı vardır. Rızanın geri çekilmesi, geri çekim işleminden önce rızaya dayalı olarak yapılan işleme faaliyetinin hukuka uygunluğunu etkilemez. Veri sahibi,</w:t>
      </w:r>
      <w:r>
        <w:rPr>
          <w:spacing w:val="-5"/>
          <w:sz w:val="20"/>
        </w:rPr>
        <w:t> </w:t>
      </w:r>
      <w:r>
        <w:rPr>
          <w:sz w:val="20"/>
        </w:rPr>
        <w:t>rıza</w:t>
      </w:r>
      <w:r>
        <w:rPr>
          <w:spacing w:val="-4"/>
          <w:sz w:val="20"/>
        </w:rPr>
        <w:t> </w:t>
      </w:r>
      <w:r>
        <w:rPr>
          <w:sz w:val="20"/>
        </w:rPr>
        <w:t>vermeden</w:t>
      </w:r>
      <w:r>
        <w:rPr>
          <w:spacing w:val="-6"/>
          <w:sz w:val="20"/>
        </w:rPr>
        <w:t> </w:t>
      </w:r>
      <w:r>
        <w:rPr>
          <w:sz w:val="20"/>
        </w:rPr>
        <w:t>önce,</w:t>
      </w:r>
      <w:r>
        <w:rPr>
          <w:spacing w:val="-5"/>
          <w:sz w:val="20"/>
        </w:rPr>
        <w:t> </w:t>
      </w:r>
      <w:r>
        <w:rPr>
          <w:sz w:val="20"/>
        </w:rPr>
        <w:t>bu</w:t>
      </w:r>
      <w:r>
        <w:rPr>
          <w:spacing w:val="-4"/>
          <w:sz w:val="20"/>
        </w:rPr>
        <w:t> </w:t>
      </w:r>
      <w:r>
        <w:rPr>
          <w:sz w:val="20"/>
        </w:rPr>
        <w:t>hususta</w:t>
      </w:r>
      <w:r>
        <w:rPr>
          <w:spacing w:val="-4"/>
          <w:sz w:val="20"/>
        </w:rPr>
        <w:t> </w:t>
      </w:r>
      <w:r>
        <w:rPr>
          <w:sz w:val="20"/>
        </w:rPr>
        <w:t>bilgilendirilir.</w:t>
      </w:r>
      <w:r>
        <w:rPr>
          <w:spacing w:val="-5"/>
          <w:sz w:val="20"/>
        </w:rPr>
        <w:t> </w:t>
      </w:r>
      <w:r>
        <w:rPr>
          <w:sz w:val="20"/>
        </w:rPr>
        <w:t>Rızanın</w:t>
      </w:r>
      <w:r>
        <w:rPr>
          <w:spacing w:val="-5"/>
          <w:sz w:val="20"/>
        </w:rPr>
        <w:t> </w:t>
      </w:r>
      <w:r>
        <w:rPr>
          <w:sz w:val="20"/>
        </w:rPr>
        <w:t>geri</w:t>
      </w:r>
      <w:r>
        <w:rPr>
          <w:spacing w:val="-6"/>
          <w:sz w:val="20"/>
        </w:rPr>
        <w:t> </w:t>
      </w:r>
      <w:r>
        <w:rPr>
          <w:sz w:val="20"/>
        </w:rPr>
        <w:t>çekilmesi</w:t>
      </w:r>
      <w:r>
        <w:rPr>
          <w:spacing w:val="-6"/>
          <w:sz w:val="20"/>
        </w:rPr>
        <w:t> </w:t>
      </w:r>
      <w:r>
        <w:rPr>
          <w:sz w:val="20"/>
        </w:rPr>
        <w:t>rıza</w:t>
      </w:r>
      <w:r>
        <w:rPr>
          <w:spacing w:val="-4"/>
          <w:sz w:val="20"/>
        </w:rPr>
        <w:t> </w:t>
      </w:r>
      <w:r>
        <w:rPr>
          <w:sz w:val="20"/>
        </w:rPr>
        <w:t>vermek</w:t>
      </w:r>
      <w:r>
        <w:rPr>
          <w:spacing w:val="-5"/>
          <w:sz w:val="20"/>
        </w:rPr>
        <w:t> </w:t>
      </w:r>
      <w:r>
        <w:rPr>
          <w:sz w:val="20"/>
        </w:rPr>
        <w:t>kadar</w:t>
      </w:r>
      <w:r>
        <w:rPr>
          <w:spacing w:val="-7"/>
          <w:sz w:val="20"/>
        </w:rPr>
        <w:t> </w:t>
      </w:r>
      <w:r>
        <w:rPr>
          <w:sz w:val="20"/>
        </w:rPr>
        <w:t>kolaydır.</w:t>
      </w:r>
    </w:p>
    <w:p>
      <w:pPr>
        <w:pStyle w:val="BodyText"/>
        <w:rPr>
          <w:sz w:val="22"/>
        </w:rPr>
      </w:pPr>
    </w:p>
    <w:p>
      <w:pPr>
        <w:pStyle w:val="BodyText"/>
        <w:spacing w:before="7"/>
        <w:rPr>
          <w:sz w:val="24"/>
        </w:rPr>
      </w:pPr>
    </w:p>
    <w:p>
      <w:pPr>
        <w:pStyle w:val="ListParagraph"/>
        <w:numPr>
          <w:ilvl w:val="0"/>
          <w:numId w:val="12"/>
        </w:numPr>
        <w:tabs>
          <w:tab w:pos="1030" w:val="left" w:leader="none"/>
        </w:tabs>
        <w:spacing w:line="276" w:lineRule="auto" w:before="0" w:after="0"/>
        <w:ind w:left="726" w:right="696" w:firstLine="0"/>
        <w:jc w:val="both"/>
        <w:rPr>
          <w:sz w:val="20"/>
        </w:rPr>
      </w:pPr>
      <w:r>
        <w:rPr>
          <w:sz w:val="20"/>
        </w:rPr>
        <w:t>Rızanın özgür bir şekilde verilip verilmediği değerlendirilirken, her şeyden önce, bir hizmetin sağlanması</w:t>
      </w:r>
      <w:r>
        <w:rPr>
          <w:spacing w:val="-5"/>
          <w:sz w:val="20"/>
        </w:rPr>
        <w:t> </w:t>
      </w:r>
      <w:r>
        <w:rPr>
          <w:sz w:val="20"/>
        </w:rPr>
        <w:t>da</w:t>
      </w:r>
      <w:r>
        <w:rPr>
          <w:spacing w:val="-5"/>
          <w:sz w:val="20"/>
        </w:rPr>
        <w:t> </w:t>
      </w:r>
      <w:r>
        <w:rPr>
          <w:sz w:val="20"/>
        </w:rPr>
        <w:t>dahil</w:t>
      </w:r>
      <w:r>
        <w:rPr>
          <w:spacing w:val="-4"/>
          <w:sz w:val="20"/>
        </w:rPr>
        <w:t> </w:t>
      </w:r>
      <w:r>
        <w:rPr>
          <w:sz w:val="20"/>
        </w:rPr>
        <w:t>olmak</w:t>
      </w:r>
      <w:r>
        <w:rPr>
          <w:spacing w:val="-4"/>
          <w:sz w:val="20"/>
        </w:rPr>
        <w:t> </w:t>
      </w:r>
      <w:r>
        <w:rPr>
          <w:sz w:val="20"/>
        </w:rPr>
        <w:t>üzere</w:t>
      </w:r>
      <w:r>
        <w:rPr>
          <w:spacing w:val="-2"/>
          <w:sz w:val="20"/>
        </w:rPr>
        <w:t> </w:t>
      </w:r>
      <w:r>
        <w:rPr>
          <w:sz w:val="20"/>
        </w:rPr>
        <w:t>bir</w:t>
      </w:r>
      <w:r>
        <w:rPr>
          <w:spacing w:val="-4"/>
          <w:sz w:val="20"/>
        </w:rPr>
        <w:t> </w:t>
      </w:r>
      <w:r>
        <w:rPr>
          <w:sz w:val="20"/>
        </w:rPr>
        <w:t>sözleşmenin</w:t>
      </w:r>
      <w:r>
        <w:rPr>
          <w:spacing w:val="-5"/>
          <w:sz w:val="20"/>
        </w:rPr>
        <w:t> </w:t>
      </w:r>
      <w:r>
        <w:rPr>
          <w:sz w:val="20"/>
        </w:rPr>
        <w:t>ifasının</w:t>
      </w:r>
      <w:r>
        <w:rPr>
          <w:spacing w:val="-6"/>
          <w:sz w:val="20"/>
        </w:rPr>
        <w:t> </w:t>
      </w:r>
      <w:r>
        <w:rPr>
          <w:sz w:val="20"/>
        </w:rPr>
        <w:t>söz</w:t>
      </w:r>
      <w:r>
        <w:rPr>
          <w:spacing w:val="-6"/>
          <w:sz w:val="20"/>
        </w:rPr>
        <w:t> </w:t>
      </w:r>
      <w:r>
        <w:rPr>
          <w:sz w:val="20"/>
        </w:rPr>
        <w:t>konusu</w:t>
      </w:r>
      <w:r>
        <w:rPr>
          <w:spacing w:val="-5"/>
          <w:sz w:val="20"/>
        </w:rPr>
        <w:t> </w:t>
      </w:r>
      <w:r>
        <w:rPr>
          <w:sz w:val="20"/>
        </w:rPr>
        <w:t>sözleşmenin</w:t>
      </w:r>
      <w:r>
        <w:rPr>
          <w:spacing w:val="-5"/>
          <w:sz w:val="20"/>
        </w:rPr>
        <w:t> </w:t>
      </w:r>
      <w:r>
        <w:rPr>
          <w:sz w:val="20"/>
        </w:rPr>
        <w:t>ifası</w:t>
      </w:r>
      <w:r>
        <w:rPr>
          <w:spacing w:val="-5"/>
          <w:sz w:val="20"/>
        </w:rPr>
        <w:t> </w:t>
      </w:r>
      <w:r>
        <w:rPr>
          <w:sz w:val="20"/>
        </w:rPr>
        <w:t>için</w:t>
      </w:r>
      <w:r>
        <w:rPr>
          <w:spacing w:val="-5"/>
          <w:sz w:val="20"/>
        </w:rPr>
        <w:t> </w:t>
      </w:r>
      <w:r>
        <w:rPr>
          <w:sz w:val="20"/>
        </w:rPr>
        <w:t>gerekmeyen</w:t>
      </w:r>
    </w:p>
    <w:p>
      <w:pPr>
        <w:spacing w:after="0" w:line="276" w:lineRule="auto"/>
        <w:jc w:val="both"/>
        <w:rPr>
          <w:sz w:val="20"/>
        </w:rPr>
        <w:sectPr>
          <w:pgSz w:w="11930" w:h="16850"/>
          <w:pgMar w:header="961" w:footer="0" w:top="1240" w:bottom="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before="66"/>
        <w:ind w:left="726"/>
      </w:pPr>
      <w:r>
        <w:rPr/>
        <w:t>kişisel verilerin işlenmesine yönelik bir rızaya bağlı olup olmadığına azami özen gösterilir.</w:t>
      </w:r>
    </w:p>
    <w:p>
      <w:pPr>
        <w:pStyle w:val="BodyText"/>
        <w:rPr>
          <w:sz w:val="22"/>
        </w:rPr>
      </w:pPr>
    </w:p>
    <w:p>
      <w:pPr>
        <w:pStyle w:val="BodyText"/>
        <w:spacing w:before="1"/>
        <w:rPr>
          <w:sz w:val="27"/>
        </w:rPr>
      </w:pPr>
    </w:p>
    <w:p>
      <w:pPr>
        <w:pStyle w:val="BodyText"/>
        <w:spacing w:line="276" w:lineRule="auto" w:before="1"/>
        <w:ind w:left="5035" w:right="5053"/>
        <w:jc w:val="center"/>
      </w:pPr>
      <w:r>
        <w:rPr/>
        <w:t>Madde 8</w:t>
      </w:r>
    </w:p>
    <w:p>
      <w:pPr>
        <w:pStyle w:val="BodyText"/>
        <w:rPr>
          <w:sz w:val="22"/>
        </w:rPr>
      </w:pPr>
    </w:p>
    <w:p>
      <w:pPr>
        <w:pStyle w:val="BodyText"/>
        <w:rPr>
          <w:sz w:val="24"/>
        </w:rPr>
      </w:pPr>
    </w:p>
    <w:p>
      <w:pPr>
        <w:pStyle w:val="Heading1"/>
        <w:spacing w:line="276" w:lineRule="auto"/>
      </w:pPr>
      <w:r>
        <w:rPr/>
        <w:t>Çocuğun bilgi toplumu hizmetlerine ilişkin rızası açısından geçerli koşullar</w:t>
      </w:r>
    </w:p>
    <w:p>
      <w:pPr>
        <w:pStyle w:val="BodyText"/>
        <w:rPr>
          <w:b/>
          <w:sz w:val="22"/>
        </w:rPr>
      </w:pPr>
    </w:p>
    <w:p>
      <w:pPr>
        <w:pStyle w:val="BodyText"/>
        <w:spacing w:before="10"/>
        <w:rPr>
          <w:b/>
          <w:sz w:val="24"/>
        </w:rPr>
      </w:pPr>
    </w:p>
    <w:p>
      <w:pPr>
        <w:pStyle w:val="ListParagraph"/>
        <w:numPr>
          <w:ilvl w:val="0"/>
          <w:numId w:val="13"/>
        </w:numPr>
        <w:tabs>
          <w:tab w:pos="1095" w:val="left" w:leader="none"/>
        </w:tabs>
        <w:spacing w:line="276" w:lineRule="auto" w:before="0" w:after="0"/>
        <w:ind w:left="726" w:right="692" w:firstLine="0"/>
        <w:jc w:val="both"/>
        <w:rPr>
          <w:sz w:val="20"/>
        </w:rPr>
      </w:pPr>
      <w:r>
        <w:rPr>
          <w:sz w:val="20"/>
        </w:rPr>
        <w:t>6(1) maddesinin (a) bendinin uygulandığı hallerde, doğrudan bir çocuğa bilgi toplumu hizmetleri sağlanması ile ilgili olarak, çocuğun en az 16 yaşında olması halinde, ilgili çocuğun kişisel verilerin işlenmesi hukuka uygundur. Çocuğun 16 yaşından küçük olması halinde, söz konusu işleme faaliyeti, ancak rızanın çocuk üzerinde velayet hakkı bulunan kişi tarafından verilmesi veya onaylanması halinde ve verildiği veya onaylandığı ölçüde hukuka</w:t>
      </w:r>
      <w:r>
        <w:rPr>
          <w:spacing w:val="-1"/>
          <w:sz w:val="20"/>
        </w:rPr>
        <w:t> </w:t>
      </w:r>
      <w:r>
        <w:rPr>
          <w:sz w:val="20"/>
        </w:rPr>
        <w:t>uygundur.</w:t>
      </w:r>
    </w:p>
    <w:p>
      <w:pPr>
        <w:pStyle w:val="BodyText"/>
        <w:rPr>
          <w:sz w:val="22"/>
        </w:rPr>
      </w:pPr>
    </w:p>
    <w:p>
      <w:pPr>
        <w:pStyle w:val="BodyText"/>
        <w:rPr>
          <w:sz w:val="24"/>
        </w:rPr>
      </w:pPr>
    </w:p>
    <w:p>
      <w:pPr>
        <w:pStyle w:val="BodyText"/>
        <w:spacing w:line="276" w:lineRule="auto"/>
        <w:ind w:left="726" w:right="701"/>
        <w:jc w:val="both"/>
      </w:pPr>
      <w:r>
        <w:rPr/>
        <w:t>Üye devletler, 13 yaştan küçük olmamak kaydıyla, bu amaçlara yönelik olarak kanunla daha küçük bir yaş belirleyebilir.</w:t>
      </w:r>
    </w:p>
    <w:p>
      <w:pPr>
        <w:pStyle w:val="BodyText"/>
        <w:spacing w:before="3"/>
        <w:rPr>
          <w:sz w:val="27"/>
        </w:rPr>
      </w:pPr>
    </w:p>
    <w:p>
      <w:pPr>
        <w:pStyle w:val="ListParagraph"/>
        <w:numPr>
          <w:ilvl w:val="0"/>
          <w:numId w:val="13"/>
        </w:numPr>
        <w:tabs>
          <w:tab w:pos="1003" w:val="left" w:leader="none"/>
        </w:tabs>
        <w:spacing w:line="276" w:lineRule="auto" w:before="0" w:after="0"/>
        <w:ind w:left="726" w:right="698" w:firstLine="0"/>
        <w:jc w:val="both"/>
        <w:rPr>
          <w:sz w:val="20"/>
        </w:rPr>
      </w:pPr>
      <w:r>
        <w:rPr>
          <w:sz w:val="20"/>
        </w:rPr>
        <w:t>Bu durumlarda, kontrolör mevcut teknolojiyi dikkate alarak rızanın çocuk üzerinde velayet hakkı bulunan kişi tarafından verildiğini veya onaylandığını doğrulamak adına makul çaba sarf</w:t>
      </w:r>
      <w:r>
        <w:rPr>
          <w:spacing w:val="-22"/>
          <w:sz w:val="20"/>
        </w:rPr>
        <w:t> </w:t>
      </w:r>
      <w:r>
        <w:rPr>
          <w:sz w:val="20"/>
        </w:rPr>
        <w:t>eder.</w:t>
      </w:r>
    </w:p>
    <w:p>
      <w:pPr>
        <w:pStyle w:val="BodyText"/>
        <w:rPr>
          <w:sz w:val="22"/>
        </w:rPr>
      </w:pPr>
    </w:p>
    <w:p>
      <w:pPr>
        <w:pStyle w:val="BodyText"/>
        <w:spacing w:before="1"/>
        <w:rPr>
          <w:sz w:val="24"/>
        </w:rPr>
      </w:pPr>
    </w:p>
    <w:p>
      <w:pPr>
        <w:pStyle w:val="ListParagraph"/>
        <w:numPr>
          <w:ilvl w:val="0"/>
          <w:numId w:val="13"/>
        </w:numPr>
        <w:tabs>
          <w:tab w:pos="955" w:val="left" w:leader="none"/>
        </w:tabs>
        <w:spacing w:line="276" w:lineRule="auto" w:before="0" w:after="0"/>
        <w:ind w:left="726" w:right="701" w:firstLine="0"/>
        <w:jc w:val="both"/>
        <w:rPr>
          <w:sz w:val="20"/>
        </w:rPr>
      </w:pPr>
      <w:r>
        <w:rPr>
          <w:sz w:val="20"/>
        </w:rPr>
        <w:t>1. paragraf bir çocuğa ilişkin bir sözleşmenin geçerliliği, oluşturulması veya etkisi ilgili kurallar gibi üye devletlerin genel sözleşme hukukunu</w:t>
      </w:r>
      <w:r>
        <w:rPr>
          <w:spacing w:val="-9"/>
          <w:sz w:val="20"/>
        </w:rPr>
        <w:t> </w:t>
      </w:r>
      <w:r>
        <w:rPr>
          <w:sz w:val="20"/>
        </w:rPr>
        <w:t>etkilemez.</w:t>
      </w:r>
    </w:p>
    <w:p>
      <w:pPr>
        <w:pStyle w:val="BodyText"/>
        <w:rPr>
          <w:sz w:val="22"/>
        </w:rPr>
      </w:pPr>
    </w:p>
    <w:p>
      <w:pPr>
        <w:pStyle w:val="BodyText"/>
        <w:spacing w:before="3"/>
        <w:rPr>
          <w:sz w:val="25"/>
        </w:rPr>
      </w:pPr>
    </w:p>
    <w:p>
      <w:pPr>
        <w:pStyle w:val="BodyText"/>
        <w:spacing w:line="276" w:lineRule="auto"/>
        <w:ind w:left="5035" w:right="5053"/>
        <w:jc w:val="center"/>
      </w:pPr>
      <w:r>
        <w:rPr/>
        <w:t>Madde 9</w:t>
      </w:r>
    </w:p>
    <w:p>
      <w:pPr>
        <w:pStyle w:val="BodyText"/>
        <w:spacing w:before="10"/>
        <w:rPr>
          <w:sz w:val="22"/>
        </w:rPr>
      </w:pPr>
    </w:p>
    <w:p>
      <w:pPr>
        <w:pStyle w:val="Heading1"/>
        <w:spacing w:line="276" w:lineRule="auto"/>
        <w:ind w:left="3223" w:right="3243"/>
      </w:pPr>
      <w:r>
        <w:rPr/>
        <w:t>Özel kategorilerdeki kişisel verilerin işlenmesi</w:t>
      </w:r>
    </w:p>
    <w:p>
      <w:pPr>
        <w:pStyle w:val="BodyText"/>
        <w:spacing w:before="1"/>
        <w:rPr>
          <w:b/>
          <w:sz w:val="23"/>
        </w:rPr>
      </w:pPr>
    </w:p>
    <w:p>
      <w:pPr>
        <w:pStyle w:val="ListParagraph"/>
        <w:numPr>
          <w:ilvl w:val="0"/>
          <w:numId w:val="14"/>
        </w:numPr>
        <w:tabs>
          <w:tab w:pos="1051" w:val="left" w:leader="none"/>
        </w:tabs>
        <w:spacing w:line="276" w:lineRule="auto" w:before="0" w:after="0"/>
        <w:ind w:left="726" w:right="692" w:firstLine="0"/>
        <w:jc w:val="both"/>
        <w:rPr>
          <w:sz w:val="20"/>
        </w:rPr>
      </w:pPr>
      <w:r>
        <w:rPr>
          <w:sz w:val="20"/>
        </w:rPr>
        <w:t>Irk veya etnik köken, siyasi görüşler, dini veya felsefi inançlar ya da sendika üyeliğinin ifşa edildiği kişisel verilerin işlenmesi ve bir gerçek kişinin kimlik teşhisinin yapılması amacıyla genetik veriler ile biyometrik verilerin, sağlık ile ilgili verilerin veya bir gerçek kişinin cinsel yaşamı veya cinsel eğilimine ilişkin verilerin işlenmesi</w:t>
      </w:r>
      <w:r>
        <w:rPr>
          <w:spacing w:val="-3"/>
          <w:sz w:val="20"/>
        </w:rPr>
        <w:t> </w:t>
      </w:r>
      <w:r>
        <w:rPr>
          <w:sz w:val="20"/>
        </w:rPr>
        <w:t>yasaktır.</w:t>
      </w:r>
    </w:p>
    <w:p>
      <w:pPr>
        <w:pStyle w:val="BodyText"/>
        <w:rPr>
          <w:sz w:val="22"/>
        </w:rPr>
      </w:pPr>
    </w:p>
    <w:p>
      <w:pPr>
        <w:pStyle w:val="BodyText"/>
        <w:spacing w:before="5"/>
        <w:rPr>
          <w:sz w:val="24"/>
        </w:rPr>
      </w:pPr>
    </w:p>
    <w:p>
      <w:pPr>
        <w:pStyle w:val="ListParagraph"/>
        <w:numPr>
          <w:ilvl w:val="0"/>
          <w:numId w:val="14"/>
        </w:numPr>
        <w:tabs>
          <w:tab w:pos="1108" w:val="left" w:leader="none"/>
          <w:tab w:pos="1109" w:val="left" w:leader="none"/>
        </w:tabs>
        <w:spacing w:line="276" w:lineRule="auto" w:before="0" w:after="0"/>
        <w:ind w:left="726" w:right="5016" w:firstLine="0"/>
        <w:jc w:val="left"/>
        <w:rPr>
          <w:sz w:val="20"/>
        </w:rPr>
      </w:pPr>
      <w:r>
        <w:rPr>
          <w:sz w:val="20"/>
        </w:rPr>
        <w:t>1. paragraf aşağıdakilerden birinin geçerli olması halinde</w:t>
      </w:r>
      <w:r>
        <w:rPr>
          <w:spacing w:val="-2"/>
          <w:sz w:val="20"/>
        </w:rPr>
        <w:t> </w:t>
      </w:r>
      <w:r>
        <w:rPr>
          <w:sz w:val="20"/>
        </w:rPr>
        <w:t>uygulanmaz:</w:t>
      </w:r>
    </w:p>
    <w:p>
      <w:pPr>
        <w:pStyle w:val="BodyText"/>
        <w:spacing w:before="8"/>
        <w:rPr>
          <w:sz w:val="23"/>
        </w:rPr>
      </w:pPr>
    </w:p>
    <w:p>
      <w:pPr>
        <w:pStyle w:val="ListParagraph"/>
        <w:numPr>
          <w:ilvl w:val="0"/>
          <w:numId w:val="15"/>
        </w:numPr>
        <w:tabs>
          <w:tab w:pos="1025" w:val="left" w:leader="none"/>
        </w:tabs>
        <w:spacing w:line="276" w:lineRule="auto" w:before="0" w:after="0"/>
        <w:ind w:left="1024" w:right="692" w:hanging="298"/>
        <w:jc w:val="both"/>
        <w:rPr>
          <w:sz w:val="20"/>
        </w:rPr>
      </w:pPr>
      <w:r>
        <w:rPr>
          <w:sz w:val="20"/>
        </w:rPr>
        <w:t>Birlik veya üye devlet hukuku çerçevesinde 1. paragrafta belirtilen yasağın veri sahibi tarafından kaldırılamayacağına ilişkin bir hüküm sağlanması haricinde, veri sahibinin belirtilen bir veya daha fazla sayıda amaca yönelik olarak söz konusu kişisel verilerin işlenmesine açık bir şekilde rıza göstermesi;</w:t>
      </w:r>
    </w:p>
    <w:p>
      <w:pPr>
        <w:pStyle w:val="BodyText"/>
        <w:rPr>
          <w:sz w:val="22"/>
        </w:rPr>
      </w:pPr>
    </w:p>
    <w:p>
      <w:pPr>
        <w:pStyle w:val="BodyText"/>
        <w:spacing w:before="5"/>
        <w:rPr>
          <w:sz w:val="24"/>
        </w:rPr>
      </w:pPr>
    </w:p>
    <w:p>
      <w:pPr>
        <w:pStyle w:val="ListParagraph"/>
        <w:numPr>
          <w:ilvl w:val="0"/>
          <w:numId w:val="15"/>
        </w:numPr>
        <w:tabs>
          <w:tab w:pos="1025" w:val="left" w:leader="none"/>
        </w:tabs>
        <w:spacing w:line="276" w:lineRule="auto" w:before="0" w:after="0"/>
        <w:ind w:left="1024" w:right="698" w:hanging="298"/>
        <w:jc w:val="both"/>
        <w:rPr>
          <w:sz w:val="20"/>
        </w:rPr>
      </w:pPr>
      <w:r>
        <w:rPr>
          <w:sz w:val="20"/>
        </w:rPr>
        <w:t>Birlik veya üye devlet hukuku çerçevesinde ya da üye devlet hukuku uyarınca yapılan ve veri sahibinin temel hakları ve menfaatlerine yönelik uygun güvencelerin sağlandığı bir toplu sözleşme çerçevesinde izin verildiği sürece, kontrolörün veya veri sahibinin istihdam ve sosyal güvenlik ve sosyal hukuku koruma alanındaki yükümlülüklerinin gerçekleştirilmesi ve spesifik haklarının kullanılması amacıyla işleme faaliyetinin</w:t>
      </w:r>
      <w:r>
        <w:rPr>
          <w:spacing w:val="-4"/>
          <w:sz w:val="20"/>
        </w:rPr>
        <w:t> </w:t>
      </w:r>
      <w:r>
        <w:rPr>
          <w:sz w:val="20"/>
        </w:rPr>
        <w:t>gerekmesi;</w:t>
      </w:r>
    </w:p>
    <w:p>
      <w:pPr>
        <w:spacing w:after="0" w:line="276"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before="8"/>
      </w:pPr>
    </w:p>
    <w:p>
      <w:pPr>
        <w:pStyle w:val="ListParagraph"/>
        <w:numPr>
          <w:ilvl w:val="0"/>
          <w:numId w:val="15"/>
        </w:numPr>
        <w:tabs>
          <w:tab w:pos="1025" w:val="left" w:leader="none"/>
        </w:tabs>
        <w:spacing w:line="278" w:lineRule="auto" w:before="93" w:after="0"/>
        <w:ind w:left="1024" w:right="701" w:hanging="298"/>
        <w:jc w:val="both"/>
        <w:rPr>
          <w:sz w:val="20"/>
        </w:rPr>
      </w:pPr>
      <w:r>
        <w:rPr>
          <w:sz w:val="20"/>
        </w:rPr>
        <w:t>veri sahibinin fiziksel veya hukuki olarak rıza veremeyecek durumda olması halinde, veri sahibi veya başka</w:t>
      </w:r>
      <w:r>
        <w:rPr>
          <w:spacing w:val="-6"/>
          <w:sz w:val="20"/>
        </w:rPr>
        <w:t> </w:t>
      </w:r>
      <w:r>
        <w:rPr>
          <w:sz w:val="20"/>
        </w:rPr>
        <w:t>bir</w:t>
      </w:r>
      <w:r>
        <w:rPr>
          <w:spacing w:val="-5"/>
          <w:sz w:val="20"/>
        </w:rPr>
        <w:t> </w:t>
      </w:r>
      <w:r>
        <w:rPr>
          <w:sz w:val="20"/>
        </w:rPr>
        <w:t>gerçek</w:t>
      </w:r>
      <w:r>
        <w:rPr>
          <w:spacing w:val="-5"/>
          <w:sz w:val="20"/>
        </w:rPr>
        <w:t> </w:t>
      </w:r>
      <w:r>
        <w:rPr>
          <w:sz w:val="20"/>
        </w:rPr>
        <w:t>kişinin</w:t>
      </w:r>
      <w:r>
        <w:rPr>
          <w:spacing w:val="-4"/>
          <w:sz w:val="20"/>
        </w:rPr>
        <w:t> </w:t>
      </w:r>
      <w:r>
        <w:rPr>
          <w:sz w:val="20"/>
        </w:rPr>
        <w:t>hayati</w:t>
      </w:r>
      <w:r>
        <w:rPr>
          <w:spacing w:val="-7"/>
          <w:sz w:val="20"/>
        </w:rPr>
        <w:t> </w:t>
      </w:r>
      <w:r>
        <w:rPr>
          <w:sz w:val="20"/>
        </w:rPr>
        <w:t>menfaatlerinin</w:t>
      </w:r>
      <w:r>
        <w:rPr>
          <w:spacing w:val="-6"/>
          <w:sz w:val="20"/>
        </w:rPr>
        <w:t> </w:t>
      </w:r>
      <w:r>
        <w:rPr>
          <w:sz w:val="20"/>
        </w:rPr>
        <w:t>korunması</w:t>
      </w:r>
      <w:r>
        <w:rPr>
          <w:spacing w:val="-6"/>
          <w:sz w:val="20"/>
        </w:rPr>
        <w:t> </w:t>
      </w:r>
      <w:r>
        <w:rPr>
          <w:sz w:val="20"/>
        </w:rPr>
        <w:t>açısından</w:t>
      </w:r>
      <w:r>
        <w:rPr>
          <w:spacing w:val="-6"/>
          <w:sz w:val="20"/>
        </w:rPr>
        <w:t> </w:t>
      </w:r>
      <w:r>
        <w:rPr>
          <w:sz w:val="20"/>
        </w:rPr>
        <w:t>işleme</w:t>
      </w:r>
      <w:r>
        <w:rPr>
          <w:spacing w:val="-6"/>
          <w:sz w:val="20"/>
        </w:rPr>
        <w:t> </w:t>
      </w:r>
      <w:r>
        <w:rPr>
          <w:sz w:val="20"/>
        </w:rPr>
        <w:t>faaliyetinin</w:t>
      </w:r>
      <w:r>
        <w:rPr>
          <w:spacing w:val="-4"/>
          <w:sz w:val="20"/>
        </w:rPr>
        <w:t> </w:t>
      </w:r>
      <w:r>
        <w:rPr>
          <w:sz w:val="20"/>
        </w:rPr>
        <w:t>gerekli</w:t>
      </w:r>
      <w:r>
        <w:rPr>
          <w:spacing w:val="-7"/>
          <w:sz w:val="20"/>
        </w:rPr>
        <w:t> </w:t>
      </w:r>
      <w:r>
        <w:rPr>
          <w:sz w:val="20"/>
        </w:rPr>
        <w:t>olması;</w:t>
      </w:r>
    </w:p>
    <w:p>
      <w:pPr>
        <w:pStyle w:val="BodyText"/>
        <w:spacing w:before="7"/>
        <w:rPr>
          <w:sz w:val="22"/>
        </w:rPr>
      </w:pPr>
    </w:p>
    <w:p>
      <w:pPr>
        <w:pStyle w:val="ListParagraph"/>
        <w:numPr>
          <w:ilvl w:val="0"/>
          <w:numId w:val="15"/>
        </w:numPr>
        <w:tabs>
          <w:tab w:pos="1037" w:val="left" w:leader="none"/>
        </w:tabs>
        <w:spacing w:line="276" w:lineRule="auto" w:before="1" w:after="0"/>
        <w:ind w:left="1024" w:right="694" w:hanging="298"/>
        <w:jc w:val="both"/>
        <w:rPr>
          <w:sz w:val="20"/>
        </w:rPr>
      </w:pPr>
      <w:r>
        <w:rPr>
          <w:sz w:val="20"/>
        </w:rPr>
        <w:t>işleme faaliyetinin bir vakıf, birlik veya kar amacı gütmeyen başka bir organ tarafından siyasi, felsefi, dini veya sendika amacıyla uygun güvencelerle birlikte yürütülen meşru faaliyetleri esnasında işlemenin ve yalnızca organın üyeleri veya eski üyeleri ya da amaçlarıyla bağlantılı olarak kendisi ile düzenli olarak temas halinde bulunan kişilerle ilgili olması ve kişisel verilerin veri sahiplerinin rızası olmaksızın söz konusu organ dışında açıklanmaması koşuluyla</w:t>
      </w:r>
      <w:r>
        <w:rPr>
          <w:spacing w:val="-13"/>
          <w:sz w:val="20"/>
        </w:rPr>
        <w:t> </w:t>
      </w:r>
      <w:r>
        <w:rPr>
          <w:sz w:val="20"/>
        </w:rPr>
        <w:t>gerçekleştirilmesi;</w:t>
      </w:r>
    </w:p>
    <w:p>
      <w:pPr>
        <w:pStyle w:val="BodyText"/>
        <w:spacing w:before="1"/>
        <w:rPr>
          <w:sz w:val="23"/>
        </w:rPr>
      </w:pPr>
    </w:p>
    <w:p>
      <w:pPr>
        <w:pStyle w:val="ListParagraph"/>
        <w:numPr>
          <w:ilvl w:val="0"/>
          <w:numId w:val="15"/>
        </w:numPr>
        <w:tabs>
          <w:tab w:pos="1027" w:val="left" w:leader="none"/>
        </w:tabs>
        <w:spacing w:line="276" w:lineRule="auto" w:before="1" w:after="0"/>
        <w:ind w:left="1024" w:right="1320" w:hanging="298"/>
        <w:jc w:val="left"/>
        <w:rPr>
          <w:sz w:val="20"/>
        </w:rPr>
      </w:pPr>
      <w:r>
        <w:rPr>
          <w:sz w:val="20"/>
        </w:rPr>
        <w:t>işleme faaliyetinin veri sahibi tarafından açık bir biçimde kamuya açıklanan kişisel verilerle ilgili olması;</w:t>
      </w:r>
    </w:p>
    <w:p>
      <w:pPr>
        <w:pStyle w:val="BodyText"/>
        <w:rPr>
          <w:sz w:val="22"/>
        </w:rPr>
      </w:pPr>
    </w:p>
    <w:p>
      <w:pPr>
        <w:pStyle w:val="BodyText"/>
        <w:spacing w:before="8"/>
        <w:rPr>
          <w:sz w:val="24"/>
        </w:rPr>
      </w:pPr>
    </w:p>
    <w:p>
      <w:pPr>
        <w:pStyle w:val="ListParagraph"/>
        <w:numPr>
          <w:ilvl w:val="0"/>
          <w:numId w:val="15"/>
        </w:numPr>
        <w:tabs>
          <w:tab w:pos="1025" w:val="left" w:leader="none"/>
        </w:tabs>
        <w:spacing w:line="276" w:lineRule="auto" w:before="0" w:after="0"/>
        <w:ind w:left="1024" w:right="702" w:hanging="298"/>
        <w:jc w:val="both"/>
        <w:rPr>
          <w:sz w:val="20"/>
        </w:rPr>
      </w:pPr>
      <w:r>
        <w:rPr>
          <w:sz w:val="20"/>
        </w:rPr>
        <w:t>yasal iddialarda bulunulması, bu iddiaların uygulanması veya savunulması açısından veya mahkemeler kendi yargı yetkisi çerçevesinde hareket ettiğinde, işleme faaliyetinin</w:t>
      </w:r>
      <w:r>
        <w:rPr>
          <w:spacing w:val="-26"/>
          <w:sz w:val="20"/>
        </w:rPr>
        <w:t> </w:t>
      </w:r>
      <w:r>
        <w:rPr>
          <w:sz w:val="20"/>
        </w:rPr>
        <w:t>gerekmesi;</w:t>
      </w:r>
    </w:p>
    <w:p>
      <w:pPr>
        <w:pStyle w:val="BodyText"/>
        <w:rPr>
          <w:sz w:val="22"/>
        </w:rPr>
      </w:pPr>
    </w:p>
    <w:p>
      <w:pPr>
        <w:pStyle w:val="BodyText"/>
        <w:spacing w:before="2"/>
        <w:rPr>
          <w:sz w:val="24"/>
        </w:rPr>
      </w:pPr>
    </w:p>
    <w:p>
      <w:pPr>
        <w:pStyle w:val="ListParagraph"/>
        <w:numPr>
          <w:ilvl w:val="0"/>
          <w:numId w:val="15"/>
        </w:numPr>
        <w:tabs>
          <w:tab w:pos="1056" w:val="left" w:leader="none"/>
        </w:tabs>
        <w:spacing w:line="276" w:lineRule="auto" w:before="1" w:after="0"/>
        <w:ind w:left="1024" w:right="689" w:hanging="298"/>
        <w:jc w:val="both"/>
        <w:rPr>
          <w:sz w:val="20"/>
        </w:rPr>
      </w:pPr>
      <w:r>
        <w:rPr>
          <w:sz w:val="20"/>
        </w:rPr>
        <w:t>gözetilen amaçla orantılı olan, veri koruma hakkının özüne saygı gösteren ve veri sahibinin temel hakları ve menfaatlerinin güvence altına alınması adına uygun ve spesifik tedbirler sağlayan Birlik veya üye devlet hukukuna dayalı olarak kayda değer ölçüde kamu yararı adına nedenlerden ötürü işleme faaliyetinin</w:t>
      </w:r>
      <w:r>
        <w:rPr>
          <w:spacing w:val="-3"/>
          <w:sz w:val="20"/>
        </w:rPr>
        <w:t> </w:t>
      </w:r>
      <w:r>
        <w:rPr>
          <w:sz w:val="20"/>
        </w:rPr>
        <w:t>gerekmesi;3e</w:t>
      </w:r>
    </w:p>
    <w:p>
      <w:pPr>
        <w:pStyle w:val="BodyText"/>
        <w:rPr>
          <w:sz w:val="23"/>
        </w:rPr>
      </w:pPr>
    </w:p>
    <w:p>
      <w:pPr>
        <w:pStyle w:val="ListParagraph"/>
        <w:numPr>
          <w:ilvl w:val="0"/>
          <w:numId w:val="15"/>
        </w:numPr>
        <w:tabs>
          <w:tab w:pos="1046" w:val="left" w:leader="none"/>
        </w:tabs>
        <w:spacing w:line="276" w:lineRule="auto" w:before="0" w:after="0"/>
        <w:ind w:left="1024" w:right="698" w:hanging="298"/>
        <w:jc w:val="both"/>
        <w:rPr>
          <w:sz w:val="20"/>
        </w:rPr>
      </w:pPr>
      <w:r>
        <w:rPr>
          <w:sz w:val="20"/>
        </w:rPr>
        <w:t>koruyucu hekimlik veya meslek hekimliği amaçları doğrultusunda, Birlik </w:t>
      </w:r>
      <w:r>
        <w:rPr>
          <w:spacing w:val="-3"/>
          <w:sz w:val="20"/>
        </w:rPr>
        <w:t>ya </w:t>
      </w:r>
      <w:r>
        <w:rPr>
          <w:sz w:val="20"/>
        </w:rPr>
        <w:t>da üye devlet hukukuna dayalı olarak veya bir sağlık profesyoneli ile yapılan sözleşme uyarınca ve 3. paragrafta atıfta bulunulan koşullar ve güvencelere tabi olarak çalışanın çalışma kapasitesinin değerlendirilmesi, tıbbi tanı, sağlık veya sosyal bakım hizmetlerinin veya tedavinin sağlanması ya da sağlık veya sosyal bakım sistemleri ve hizmetlerinin yönetilmesi açısından işleme faaliyetinin gerekli</w:t>
      </w:r>
      <w:r>
        <w:rPr>
          <w:spacing w:val="-13"/>
          <w:sz w:val="20"/>
        </w:rPr>
        <w:t> </w:t>
      </w:r>
      <w:r>
        <w:rPr>
          <w:sz w:val="20"/>
        </w:rPr>
        <w:t>olması;</w:t>
      </w:r>
    </w:p>
    <w:p>
      <w:pPr>
        <w:pStyle w:val="BodyText"/>
        <w:rPr>
          <w:sz w:val="22"/>
        </w:rPr>
      </w:pPr>
    </w:p>
    <w:p>
      <w:pPr>
        <w:pStyle w:val="BodyText"/>
        <w:spacing w:before="4"/>
        <w:rPr>
          <w:sz w:val="24"/>
        </w:rPr>
      </w:pPr>
    </w:p>
    <w:p>
      <w:pPr>
        <w:pStyle w:val="ListParagraph"/>
        <w:numPr>
          <w:ilvl w:val="0"/>
          <w:numId w:val="15"/>
        </w:numPr>
        <w:tabs>
          <w:tab w:pos="1049" w:val="left" w:leader="none"/>
        </w:tabs>
        <w:spacing w:line="276" w:lineRule="auto" w:before="0" w:after="0"/>
        <w:ind w:left="1024" w:right="695" w:hanging="298"/>
        <w:jc w:val="both"/>
        <w:rPr>
          <w:sz w:val="20"/>
        </w:rPr>
      </w:pPr>
      <w:r>
        <w:rPr>
          <w:sz w:val="20"/>
        </w:rPr>
        <w:t>özellikle mesleki gizlilik olmak üzere veri sahibinin hakları ve özgürlüklerine ilişkin güvence sağlanmasına uygun ve spesifik tedbirler sağlayan Birlik veya üye devlet hukukuna dayalı olarak, sağlığa yönelik ciddi sınır ötesi tehditlere karşı koruma sağlanması veya sağlık hizmetleri ve tıbbi ürünler ya da tıbbi cihazlara ilişkin yüksek kalite ve emniyet standartları sağlanması gibi halk sağlığı alanında kamu yararına yönelik olarak işleme faaliyetinin</w:t>
      </w:r>
      <w:r>
        <w:rPr>
          <w:spacing w:val="0"/>
          <w:sz w:val="20"/>
        </w:rPr>
        <w:t> </w:t>
      </w:r>
      <w:r>
        <w:rPr>
          <w:sz w:val="20"/>
        </w:rPr>
        <w:t>gerekmesi;</w:t>
      </w:r>
    </w:p>
    <w:p>
      <w:pPr>
        <w:pStyle w:val="BodyText"/>
        <w:spacing w:before="2"/>
        <w:rPr>
          <w:sz w:val="27"/>
        </w:rPr>
      </w:pPr>
    </w:p>
    <w:p>
      <w:pPr>
        <w:pStyle w:val="ListParagraph"/>
        <w:numPr>
          <w:ilvl w:val="0"/>
          <w:numId w:val="15"/>
        </w:numPr>
        <w:tabs>
          <w:tab w:pos="995" w:val="left" w:leader="none"/>
        </w:tabs>
        <w:spacing w:line="276" w:lineRule="auto" w:before="0" w:after="0"/>
        <w:ind w:left="1024" w:right="687" w:hanging="298"/>
        <w:jc w:val="both"/>
        <w:rPr>
          <w:sz w:val="20"/>
        </w:rPr>
      </w:pPr>
      <w:r>
        <w:rPr>
          <w:sz w:val="20"/>
        </w:rPr>
        <w:t>gözetilen amaçla orantılı olan, veri koruma hakkının özüne saygı gösteren ve veri sahibinin temel hakları ve menfaatlerinin güvence altına alınmasına uygun ve spesifik tedbirler sağlayan Birlik veya üye devlet hukukuna dayalı olarak, 89(1) maddesi uyarınca kamu yararına yönelik arşivleme amaçları, bilimsel veya tarihi araştırma amaçları </w:t>
      </w:r>
      <w:r>
        <w:rPr>
          <w:spacing w:val="-3"/>
          <w:sz w:val="20"/>
        </w:rPr>
        <w:t>ya </w:t>
      </w:r>
      <w:r>
        <w:rPr>
          <w:sz w:val="20"/>
        </w:rPr>
        <w:t>da istatistiki amaçlar doğrultusunda işleme faaliyetinin</w:t>
      </w:r>
      <w:r>
        <w:rPr>
          <w:spacing w:val="-2"/>
          <w:sz w:val="20"/>
        </w:rPr>
        <w:t> </w:t>
      </w:r>
      <w:r>
        <w:rPr>
          <w:sz w:val="20"/>
        </w:rPr>
        <w:t>gerekmesi.</w:t>
      </w:r>
    </w:p>
    <w:p>
      <w:pPr>
        <w:pStyle w:val="BodyText"/>
        <w:spacing w:before="4"/>
        <w:rPr>
          <w:sz w:val="23"/>
        </w:rPr>
      </w:pPr>
    </w:p>
    <w:p>
      <w:pPr>
        <w:pStyle w:val="ListParagraph"/>
        <w:numPr>
          <w:ilvl w:val="0"/>
          <w:numId w:val="14"/>
        </w:numPr>
        <w:tabs>
          <w:tab w:pos="1140" w:val="left" w:leader="none"/>
        </w:tabs>
        <w:spacing w:line="276" w:lineRule="auto" w:before="0" w:after="0"/>
        <w:ind w:left="726" w:right="690" w:firstLine="0"/>
        <w:jc w:val="both"/>
        <w:rPr>
          <w:sz w:val="20"/>
        </w:rPr>
      </w:pPr>
      <w:r>
        <w:rPr>
          <w:sz w:val="20"/>
        </w:rPr>
        <w:t>1. paragrafta atıfta bulunulan kişisel veriler Birlik </w:t>
      </w:r>
      <w:r>
        <w:rPr>
          <w:spacing w:val="-3"/>
          <w:sz w:val="20"/>
        </w:rPr>
        <w:t>ya </w:t>
      </w:r>
      <w:r>
        <w:rPr>
          <w:sz w:val="20"/>
        </w:rPr>
        <w:t>da üye devlet hukuku kapsamındaki mesleki gizlilik yükümlülüğü veya ulusal yetkin organlar tarafından konan kurallara tabi olarak bir profesyonel tarafından veya söz konusu profesyonelin sorumluluğu altında ya da Birlik ya da üye devlet hukuku kapsamındaki mesleki gizlilik yükümlülüğü veya ulusal yetkin organlar tarafından konan kurallara tabi olarak başka bir kişi tarafından işlendiğinde, söz konusu veriler 2. paragrafın (h) bendinde atıfta bulunulan amaçlara yönelik olarak</w:t>
      </w:r>
      <w:r>
        <w:rPr>
          <w:spacing w:val="5"/>
          <w:sz w:val="20"/>
        </w:rPr>
        <w:t> </w:t>
      </w:r>
      <w:r>
        <w:rPr>
          <w:sz w:val="20"/>
        </w:rPr>
        <w:t>işlenebilir.</w:t>
      </w:r>
    </w:p>
    <w:p>
      <w:pPr>
        <w:pStyle w:val="BodyText"/>
        <w:rPr>
          <w:sz w:val="22"/>
        </w:rPr>
      </w:pPr>
    </w:p>
    <w:p>
      <w:pPr>
        <w:pStyle w:val="BodyText"/>
        <w:spacing w:before="2"/>
        <w:rPr>
          <w:sz w:val="24"/>
        </w:rPr>
      </w:pPr>
    </w:p>
    <w:p>
      <w:pPr>
        <w:pStyle w:val="ListParagraph"/>
        <w:numPr>
          <w:ilvl w:val="0"/>
          <w:numId w:val="14"/>
        </w:numPr>
        <w:tabs>
          <w:tab w:pos="951" w:val="left" w:leader="none"/>
        </w:tabs>
        <w:spacing w:line="278" w:lineRule="auto" w:before="0" w:after="0"/>
        <w:ind w:left="726" w:right="694" w:firstLine="0"/>
        <w:jc w:val="both"/>
        <w:rPr>
          <w:sz w:val="20"/>
        </w:rPr>
      </w:pPr>
      <w:r>
        <w:rPr>
          <w:sz w:val="20"/>
        </w:rPr>
        <w:t>Üye Devletler genetik veriler, biyometrik veriler veya sağlık ile ilgili veriler ile alakalı olarak sınırlamalar da dahil olmak üzere ek koşullar uygulamaya devam edebilir ya da ek koşullar</w:t>
      </w:r>
      <w:r>
        <w:rPr>
          <w:spacing w:val="-16"/>
          <w:sz w:val="20"/>
        </w:rPr>
        <w:t> </w:t>
      </w:r>
      <w:r>
        <w:rPr>
          <w:sz w:val="20"/>
        </w:rPr>
        <w:t>getirebilir.</w:t>
      </w:r>
    </w:p>
    <w:p>
      <w:pPr>
        <w:pStyle w:val="BodyText"/>
        <w:spacing w:before="7"/>
        <w:rPr>
          <w:sz w:val="22"/>
        </w:rPr>
      </w:pPr>
    </w:p>
    <w:p>
      <w:pPr>
        <w:pStyle w:val="BodyText"/>
        <w:spacing w:line="276" w:lineRule="auto" w:before="1"/>
        <w:ind w:left="5035" w:right="5053"/>
        <w:jc w:val="center"/>
      </w:pPr>
      <w:r>
        <w:rPr/>
        <w:t>Madde 10</w:t>
      </w:r>
    </w:p>
    <w:p>
      <w:pPr>
        <w:spacing w:after="0" w:line="276" w:lineRule="auto"/>
        <w:jc w:val="cente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before="5"/>
      </w:pPr>
    </w:p>
    <w:p>
      <w:pPr>
        <w:pStyle w:val="Heading1"/>
        <w:spacing w:line="278" w:lineRule="auto" w:before="93"/>
        <w:ind w:left="2202"/>
      </w:pPr>
      <w:r>
        <w:rPr/>
        <w:t>Mahkumiyet kararları ve ceza gerektiren suçlara ilişkin kişisel verilerin işlenmesi</w:t>
      </w:r>
    </w:p>
    <w:p>
      <w:pPr>
        <w:pStyle w:val="BodyText"/>
        <w:rPr>
          <w:b/>
          <w:sz w:val="22"/>
        </w:rPr>
      </w:pPr>
    </w:p>
    <w:p>
      <w:pPr>
        <w:pStyle w:val="BodyText"/>
        <w:spacing w:before="1"/>
        <w:rPr>
          <w:b/>
          <w:sz w:val="24"/>
        </w:rPr>
      </w:pPr>
    </w:p>
    <w:p>
      <w:pPr>
        <w:pStyle w:val="BodyText"/>
        <w:spacing w:line="276" w:lineRule="auto"/>
        <w:ind w:left="726" w:right="686"/>
        <w:jc w:val="both"/>
      </w:pPr>
      <w:r>
        <w:rPr/>
        <w:t>Mahkumiyet kararları ve ceza gerektiren suçlara ilişkin ya da ilgili güvenlik tedbirlerine ilişkin kişisel verilerin 6(1) maddesine dayalı olarak işlenmesi, ancak resmi mercinin denetimi altında veya veri sahiplerinin hakları ve özgürlüklerine uygun güvenceler sağlayan Birlik veya üye devlet hukuku çerçevesinde işleme faaliyetine onay verildiğinde gerçekleştirilir. Mahkumiyet kararlarına ilişkin kapsamlı herhangi bir sicil yalnızca resmi mercinin denetimi altında tutulur.</w:t>
      </w:r>
    </w:p>
    <w:p>
      <w:pPr>
        <w:pStyle w:val="BodyText"/>
        <w:spacing w:before="11"/>
        <w:rPr>
          <w:sz w:val="22"/>
        </w:rPr>
      </w:pPr>
    </w:p>
    <w:p>
      <w:pPr>
        <w:pStyle w:val="BodyText"/>
        <w:spacing w:line="276" w:lineRule="auto"/>
        <w:ind w:left="5035" w:right="5053"/>
        <w:jc w:val="center"/>
      </w:pPr>
      <w:r>
        <w:rPr/>
        <w:t>Madde 11</w:t>
      </w:r>
    </w:p>
    <w:p>
      <w:pPr>
        <w:pStyle w:val="BodyText"/>
        <w:rPr>
          <w:sz w:val="22"/>
        </w:rPr>
      </w:pPr>
    </w:p>
    <w:p>
      <w:pPr>
        <w:pStyle w:val="BodyText"/>
        <w:spacing w:before="3"/>
        <w:rPr>
          <w:sz w:val="24"/>
        </w:rPr>
      </w:pPr>
    </w:p>
    <w:p>
      <w:pPr>
        <w:pStyle w:val="Heading1"/>
        <w:spacing w:before="1"/>
        <w:ind w:left="2201"/>
      </w:pPr>
      <w:r>
        <w:rPr/>
        <w:t>Teşhis gerektirmeyen işleme faaliyeti</w:t>
      </w:r>
    </w:p>
    <w:p>
      <w:pPr>
        <w:pStyle w:val="BodyText"/>
        <w:rPr>
          <w:b/>
          <w:sz w:val="22"/>
        </w:rPr>
      </w:pPr>
    </w:p>
    <w:p>
      <w:pPr>
        <w:pStyle w:val="BodyText"/>
        <w:spacing w:before="3"/>
        <w:rPr>
          <w:b/>
          <w:sz w:val="27"/>
        </w:rPr>
      </w:pPr>
    </w:p>
    <w:p>
      <w:pPr>
        <w:pStyle w:val="ListParagraph"/>
        <w:numPr>
          <w:ilvl w:val="0"/>
          <w:numId w:val="16"/>
        </w:numPr>
        <w:tabs>
          <w:tab w:pos="967" w:val="left" w:leader="none"/>
        </w:tabs>
        <w:spacing w:line="276" w:lineRule="auto" w:before="0" w:after="0"/>
        <w:ind w:left="726" w:right="693" w:firstLine="0"/>
        <w:jc w:val="both"/>
        <w:rPr>
          <w:sz w:val="20"/>
        </w:rPr>
      </w:pPr>
      <w:r>
        <w:rPr>
          <w:sz w:val="20"/>
        </w:rPr>
        <w:t>Bir kontrolörün kişisel veri işleme amaçlarının kontrolör tarafından bir veri sahibinin teşhis edilmesini gerektirmemesi veya artık buna gerek kalmaması halinde, kontrolör yalnızca bu Tüzük’e uygunluk sağlamak amacıyla veri sahibini teşhis etmek üzere ek bilgi tutmak, elde etmek veya işlemek zorunda değildir.</w:t>
      </w:r>
    </w:p>
    <w:p>
      <w:pPr>
        <w:pStyle w:val="BodyText"/>
        <w:rPr>
          <w:sz w:val="22"/>
        </w:rPr>
      </w:pPr>
    </w:p>
    <w:p>
      <w:pPr>
        <w:pStyle w:val="BodyText"/>
        <w:spacing w:before="4"/>
        <w:rPr>
          <w:sz w:val="24"/>
        </w:rPr>
      </w:pPr>
    </w:p>
    <w:p>
      <w:pPr>
        <w:pStyle w:val="ListParagraph"/>
        <w:numPr>
          <w:ilvl w:val="0"/>
          <w:numId w:val="16"/>
        </w:numPr>
        <w:tabs>
          <w:tab w:pos="987" w:val="left" w:leader="none"/>
        </w:tabs>
        <w:spacing w:line="276" w:lineRule="auto" w:before="1" w:after="0"/>
        <w:ind w:left="726" w:right="689" w:firstLine="0"/>
        <w:jc w:val="both"/>
        <w:rPr>
          <w:sz w:val="20"/>
        </w:rPr>
      </w:pPr>
      <w:r>
        <w:rPr>
          <w:sz w:val="20"/>
        </w:rPr>
        <w:t>Bu maddenin 1. paragrafında atıfta bulunulan hallerde, kontrolörün veri sahibini teşhis edecek bir konumda bulunmadığını gösterebilmesi durumunda, kontrolör, mümkün olması halinde, veri sahibini bu durumdan haberdar eder. Bu durumlarda, 15 ila 20. maddeler, veri sahibinin bu maddeler kapsamındaki haklarını kullanmak amacıyla teşhis edilmesine olanak tanıyan ek bilgiler sağlaması haricinde, uygulanmaz.</w:t>
      </w:r>
    </w:p>
    <w:p>
      <w:pPr>
        <w:pStyle w:val="BodyText"/>
        <w:rPr>
          <w:sz w:val="22"/>
        </w:rPr>
      </w:pPr>
    </w:p>
    <w:p>
      <w:pPr>
        <w:pStyle w:val="BodyText"/>
        <w:spacing w:before="10"/>
        <w:rPr>
          <w:sz w:val="23"/>
        </w:rPr>
      </w:pPr>
    </w:p>
    <w:p>
      <w:pPr>
        <w:pStyle w:val="BodyText"/>
        <w:ind w:left="2205" w:right="2227"/>
        <w:jc w:val="center"/>
      </w:pPr>
      <w:r>
        <w:rPr/>
        <w:t>BÖLÜM III</w:t>
      </w:r>
    </w:p>
    <w:p>
      <w:pPr>
        <w:pStyle w:val="BodyText"/>
        <w:rPr>
          <w:sz w:val="27"/>
        </w:rPr>
      </w:pPr>
    </w:p>
    <w:p>
      <w:pPr>
        <w:pStyle w:val="Heading1"/>
        <w:ind w:left="2206"/>
      </w:pPr>
      <w:r>
        <w:rPr/>
        <w:t>Veri sahibinin hakları</w:t>
      </w:r>
    </w:p>
    <w:p>
      <w:pPr>
        <w:pStyle w:val="BodyText"/>
        <w:spacing w:before="11"/>
        <w:rPr>
          <w:b/>
          <w:sz w:val="26"/>
        </w:rPr>
      </w:pPr>
    </w:p>
    <w:p>
      <w:pPr>
        <w:pStyle w:val="BodyText"/>
        <w:ind w:left="2207" w:right="2221"/>
        <w:jc w:val="center"/>
      </w:pPr>
      <w:r>
        <w:rPr/>
        <w:t>Kesim 1</w:t>
      </w:r>
    </w:p>
    <w:p>
      <w:pPr>
        <w:pStyle w:val="BodyText"/>
        <w:spacing w:before="11"/>
        <w:rPr>
          <w:sz w:val="25"/>
        </w:rPr>
      </w:pPr>
    </w:p>
    <w:p>
      <w:pPr>
        <w:pStyle w:val="Heading1"/>
        <w:ind w:right="2207"/>
      </w:pPr>
      <w:r>
        <w:rPr/>
        <w:t>Şeffaflık ve yöntemler</w:t>
      </w:r>
    </w:p>
    <w:p>
      <w:pPr>
        <w:pStyle w:val="BodyText"/>
        <w:rPr>
          <w:b/>
          <w:sz w:val="22"/>
        </w:rPr>
      </w:pPr>
    </w:p>
    <w:p>
      <w:pPr>
        <w:pStyle w:val="BodyText"/>
        <w:spacing w:before="8"/>
        <w:rPr>
          <w:b/>
          <w:sz w:val="27"/>
        </w:rPr>
      </w:pPr>
    </w:p>
    <w:p>
      <w:pPr>
        <w:pStyle w:val="BodyText"/>
        <w:spacing w:line="276" w:lineRule="auto"/>
        <w:ind w:left="5035" w:right="5053"/>
        <w:jc w:val="center"/>
      </w:pPr>
      <w:r>
        <w:rPr/>
        <w:t>Madde 12</w:t>
      </w:r>
    </w:p>
    <w:p>
      <w:pPr>
        <w:pStyle w:val="BodyText"/>
        <w:rPr>
          <w:sz w:val="22"/>
        </w:rPr>
      </w:pPr>
    </w:p>
    <w:p>
      <w:pPr>
        <w:pStyle w:val="BodyText"/>
        <w:spacing w:before="3"/>
        <w:rPr>
          <w:sz w:val="24"/>
        </w:rPr>
      </w:pPr>
    </w:p>
    <w:p>
      <w:pPr>
        <w:pStyle w:val="Heading1"/>
        <w:ind w:left="1272" w:right="1295"/>
      </w:pPr>
      <w:r>
        <w:rPr/>
        <w:t>Veri sahibinin haklarının kullanımına ilişkin şeffaf bilgilendirme, bildirim ve yöntemler</w:t>
      </w:r>
    </w:p>
    <w:p>
      <w:pPr>
        <w:pStyle w:val="BodyText"/>
        <w:rPr>
          <w:b/>
          <w:sz w:val="22"/>
        </w:rPr>
      </w:pPr>
    </w:p>
    <w:p>
      <w:pPr>
        <w:pStyle w:val="BodyText"/>
        <w:spacing w:before="1"/>
        <w:rPr>
          <w:b/>
          <w:sz w:val="28"/>
        </w:rPr>
      </w:pPr>
    </w:p>
    <w:p>
      <w:pPr>
        <w:pStyle w:val="ListParagraph"/>
        <w:numPr>
          <w:ilvl w:val="0"/>
          <w:numId w:val="17"/>
        </w:numPr>
        <w:tabs>
          <w:tab w:pos="1140" w:val="left" w:leader="none"/>
        </w:tabs>
        <w:spacing w:line="276" w:lineRule="auto" w:before="0" w:after="0"/>
        <w:ind w:left="726" w:right="693" w:firstLine="0"/>
        <w:jc w:val="both"/>
        <w:rPr>
          <w:sz w:val="20"/>
        </w:rPr>
      </w:pPr>
      <w:r>
        <w:rPr>
          <w:sz w:val="20"/>
        </w:rPr>
        <w:t>Kontrolör spesifik olarak bir çocuğa yönelik her türlü bilgi başta olmak üzere işleme faaliyeti ile alakalı olarak 13 ve 14. maddelerde atıfta bulunulan her türlü bilgi ile 15 ila 22. ve 34. maddeler kapsamındaki her türlü bildirimi öz, şeffaf, anlaşılır ve kolayca erişilebilir bir biçimde, açık ve sade bir dil kullanarak veri sahibine sağlamak için gerekli tedbirleri alır. Bilgileri yazılı olarak veya, uygun olduğu hallerde, elektronik yollar da dahil olmak üzere diğer yollarla sağlar. Veri sahibi tarafından talep edilmesi durumunda, veri sahibinin kimliğinin diğer yollarla doğrulanması koşuluyla, bilgiler sözlü olarak sağlanabilir.</w:t>
      </w:r>
    </w:p>
    <w:p>
      <w:pPr>
        <w:pStyle w:val="BodyText"/>
        <w:rPr>
          <w:sz w:val="22"/>
        </w:rPr>
      </w:pPr>
    </w:p>
    <w:p>
      <w:pPr>
        <w:pStyle w:val="BodyText"/>
        <w:spacing w:before="1"/>
        <w:rPr>
          <w:sz w:val="28"/>
        </w:rPr>
      </w:pPr>
    </w:p>
    <w:p>
      <w:pPr>
        <w:pStyle w:val="ListParagraph"/>
        <w:numPr>
          <w:ilvl w:val="0"/>
          <w:numId w:val="17"/>
        </w:numPr>
        <w:tabs>
          <w:tab w:pos="948" w:val="left" w:leader="none"/>
        </w:tabs>
        <w:spacing w:line="240" w:lineRule="auto" w:before="0" w:after="0"/>
        <w:ind w:left="947" w:right="0" w:hanging="221"/>
        <w:jc w:val="both"/>
        <w:rPr>
          <w:sz w:val="20"/>
        </w:rPr>
      </w:pPr>
      <w:r>
        <w:rPr>
          <w:sz w:val="20"/>
        </w:rPr>
        <w:t>Kontrolör veri sahibinin 15 ila 22. maddeler kapsamındaki haklarının kullanılmasına kolaylık</w:t>
      </w:r>
      <w:r>
        <w:rPr>
          <w:spacing w:val="-23"/>
          <w:sz w:val="20"/>
        </w:rPr>
        <w:t> </w:t>
      </w:r>
      <w:r>
        <w:rPr>
          <w:sz w:val="20"/>
        </w:rPr>
        <w:t>sağlar.</w:t>
      </w:r>
    </w:p>
    <w:p>
      <w:pPr>
        <w:spacing w:after="0" w:line="240" w:lineRule="auto"/>
        <w:jc w:val="both"/>
        <w:rPr>
          <w:sz w:val="20"/>
        </w:rPr>
        <w:sectPr>
          <w:headerReference w:type="even" r:id="rId7"/>
          <w:headerReference w:type="default" r:id="rId8"/>
          <w:pgSz w:w="11930" w:h="16850"/>
          <w:pgMar w:header="961" w:footer="0" w:top="1240" w:bottom="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line="276" w:lineRule="auto" w:before="114"/>
        <w:ind w:left="726" w:right="696"/>
        <w:jc w:val="both"/>
      </w:pPr>
      <w:r>
        <w:rPr/>
        <w:t>11(2) maddesinde atıfta bulunulan hallerde, kontrolörün veri sahibini teşhis edemeyecek bir konumda bulunduğunu göstermemesi halinde, kontrolör veri sahibinin 15 ila 22. maddeler kapsamındaki haklarının kullanılması yönündeki talebini işleme koymayı reddedemez.</w:t>
      </w:r>
    </w:p>
    <w:p>
      <w:pPr>
        <w:pStyle w:val="BodyText"/>
        <w:rPr>
          <w:sz w:val="22"/>
        </w:rPr>
      </w:pPr>
    </w:p>
    <w:p>
      <w:pPr>
        <w:pStyle w:val="BodyText"/>
        <w:spacing w:before="6"/>
        <w:rPr>
          <w:sz w:val="25"/>
        </w:rPr>
      </w:pPr>
    </w:p>
    <w:p>
      <w:pPr>
        <w:pStyle w:val="ListParagraph"/>
        <w:numPr>
          <w:ilvl w:val="0"/>
          <w:numId w:val="17"/>
        </w:numPr>
        <w:tabs>
          <w:tab w:pos="953" w:val="left" w:leader="none"/>
        </w:tabs>
        <w:spacing w:line="276" w:lineRule="auto" w:before="0" w:after="0"/>
        <w:ind w:left="726" w:right="693" w:firstLine="0"/>
        <w:jc w:val="both"/>
        <w:rPr>
          <w:sz w:val="20"/>
        </w:rPr>
      </w:pPr>
      <w:r>
        <w:rPr>
          <w:sz w:val="20"/>
        </w:rPr>
        <w:t>Kontrolör 15 ila 22. maddeler kapsamındaki bir taleple ilgili olarak gerçekleştirilen işleme ilişkin bilgileri herhangi bir gecikmeye mahal vermeksizin ve her halükarda talebin alınmasından itibaren bir ay içerisinde veri sahibine sağlar. Bu süre, gerekmesi halinde, taleplerin karmaşıklığı ve sayısı dikkate alınarak iki ay daha uzatılabilir. Kontrolör talebin alınmasından itibaren bir ay içerisinde söz konusu süre uzatımıyla birlikte gecikme sebeplerini veri sahibine bildirir. Veri sahibinin talebi elektronik yollarla yapması halinde, veri sahibi tarafından aksi talep edilmedikçe, bilgiler, mümkün olması halinde, elektronik yollarla</w:t>
      </w:r>
      <w:r>
        <w:rPr>
          <w:spacing w:val="2"/>
          <w:sz w:val="20"/>
        </w:rPr>
        <w:t> </w:t>
      </w:r>
      <w:r>
        <w:rPr>
          <w:sz w:val="20"/>
        </w:rPr>
        <w:t>sağlanır.</w:t>
      </w:r>
    </w:p>
    <w:p>
      <w:pPr>
        <w:pStyle w:val="BodyText"/>
        <w:rPr>
          <w:sz w:val="22"/>
        </w:rPr>
      </w:pPr>
    </w:p>
    <w:p>
      <w:pPr>
        <w:pStyle w:val="BodyText"/>
        <w:spacing w:before="4"/>
        <w:rPr>
          <w:sz w:val="25"/>
        </w:rPr>
      </w:pPr>
    </w:p>
    <w:p>
      <w:pPr>
        <w:pStyle w:val="ListParagraph"/>
        <w:numPr>
          <w:ilvl w:val="0"/>
          <w:numId w:val="17"/>
        </w:numPr>
        <w:tabs>
          <w:tab w:pos="999" w:val="left" w:leader="none"/>
        </w:tabs>
        <w:spacing w:line="276" w:lineRule="auto" w:before="0" w:after="0"/>
        <w:ind w:left="726" w:right="697" w:firstLine="0"/>
        <w:jc w:val="both"/>
        <w:rPr>
          <w:sz w:val="20"/>
        </w:rPr>
      </w:pPr>
      <w:r>
        <w:rPr>
          <w:sz w:val="20"/>
        </w:rPr>
        <w:t>Kontrolörün veri sahibinin talebi ile ilgili işlem yapmaması durumunda, kontrolör işlem yapmama sebepleri ve bir denetim makamına şikayette bulunma ve kanun yoluna başvurma olanağı ile ilgili olarak herhangi bir gecikmeye mahal vermeden ve talebin alınmasından itibaren en geç bir ay içerisinde veri sahibine bilgi verir.</w:t>
      </w:r>
    </w:p>
    <w:p>
      <w:pPr>
        <w:pStyle w:val="BodyText"/>
        <w:rPr>
          <w:sz w:val="22"/>
        </w:rPr>
      </w:pPr>
    </w:p>
    <w:p>
      <w:pPr>
        <w:pStyle w:val="BodyText"/>
        <w:spacing w:before="2"/>
        <w:rPr>
          <w:sz w:val="25"/>
        </w:rPr>
      </w:pPr>
    </w:p>
    <w:p>
      <w:pPr>
        <w:pStyle w:val="ListParagraph"/>
        <w:numPr>
          <w:ilvl w:val="0"/>
          <w:numId w:val="17"/>
        </w:numPr>
        <w:tabs>
          <w:tab w:pos="965" w:val="left" w:leader="none"/>
        </w:tabs>
        <w:spacing w:line="276" w:lineRule="auto" w:before="0" w:after="0"/>
        <w:ind w:left="726" w:right="695" w:firstLine="0"/>
        <w:jc w:val="both"/>
        <w:rPr>
          <w:sz w:val="20"/>
        </w:rPr>
      </w:pPr>
      <w:r>
        <w:rPr>
          <w:sz w:val="20"/>
        </w:rPr>
        <w:t>13 ve 14. maddelerde sağlanan bilgiler ve 15 ila 22. ve 34. maddeler çerçevesinde yapılan her türlü bildirim ve gerçekleştirilen her türlü işlem ücretsiz olarak sağlanır. Bir veri sahibinin taleplerinin asılsız veya ölçüsüz olduğunun, özellikle taleplerin tekrarlanması nedeniyle, açıkça anlaşıldığı hallerde, kontrolör aşağıdakilerden birini</w:t>
      </w:r>
      <w:r>
        <w:rPr>
          <w:spacing w:val="-6"/>
          <w:sz w:val="20"/>
        </w:rPr>
        <w:t> </w:t>
      </w:r>
      <w:r>
        <w:rPr>
          <w:sz w:val="20"/>
        </w:rPr>
        <w:t>gerçekleştirebilir:</w:t>
      </w:r>
    </w:p>
    <w:p>
      <w:pPr>
        <w:pStyle w:val="BodyText"/>
        <w:rPr>
          <w:sz w:val="22"/>
        </w:rPr>
      </w:pPr>
    </w:p>
    <w:p>
      <w:pPr>
        <w:pStyle w:val="BodyText"/>
        <w:spacing w:before="3"/>
        <w:rPr>
          <w:sz w:val="24"/>
        </w:rPr>
      </w:pPr>
    </w:p>
    <w:p>
      <w:pPr>
        <w:pStyle w:val="ListParagraph"/>
        <w:numPr>
          <w:ilvl w:val="0"/>
          <w:numId w:val="18"/>
        </w:numPr>
        <w:tabs>
          <w:tab w:pos="1027" w:val="left" w:leader="none"/>
        </w:tabs>
        <w:spacing w:line="276" w:lineRule="auto" w:before="0" w:after="0"/>
        <w:ind w:left="1022" w:right="727" w:hanging="296"/>
        <w:jc w:val="left"/>
        <w:rPr>
          <w:sz w:val="20"/>
        </w:rPr>
      </w:pPr>
      <w:r>
        <w:rPr>
          <w:sz w:val="20"/>
        </w:rPr>
        <w:t>bilgiler veya bildirimin sağlanması veya talep edilen işlemin gerçekleştirilmesine ilişkin idari masrafları dikkate alarak makul bir ücret talep edebilir</w:t>
      </w:r>
      <w:r>
        <w:rPr>
          <w:spacing w:val="-6"/>
          <w:sz w:val="20"/>
        </w:rPr>
        <w:t> </w:t>
      </w:r>
      <w:r>
        <w:rPr>
          <w:sz w:val="20"/>
        </w:rPr>
        <w:t>veya</w:t>
      </w:r>
    </w:p>
    <w:p>
      <w:pPr>
        <w:pStyle w:val="ListParagraph"/>
        <w:numPr>
          <w:ilvl w:val="0"/>
          <w:numId w:val="18"/>
        </w:numPr>
        <w:tabs>
          <w:tab w:pos="1027" w:val="left" w:leader="none"/>
        </w:tabs>
        <w:spacing w:line="229" w:lineRule="exact" w:before="0" w:after="0"/>
        <w:ind w:left="1022" w:right="0" w:hanging="296"/>
        <w:jc w:val="both"/>
        <w:rPr>
          <w:sz w:val="20"/>
        </w:rPr>
      </w:pPr>
      <w:r>
        <w:rPr>
          <w:sz w:val="20"/>
        </w:rPr>
        <w:t>taleple ilgili işlem yapmayı</w:t>
      </w:r>
      <w:r>
        <w:rPr>
          <w:spacing w:val="-1"/>
          <w:sz w:val="20"/>
        </w:rPr>
        <w:t> </w:t>
      </w:r>
      <w:r>
        <w:rPr>
          <w:sz w:val="20"/>
        </w:rPr>
        <w:t>reddedebilir.</w:t>
      </w:r>
    </w:p>
    <w:p>
      <w:pPr>
        <w:pStyle w:val="BodyText"/>
        <w:spacing w:before="3"/>
        <w:rPr>
          <w:sz w:val="26"/>
        </w:rPr>
      </w:pPr>
    </w:p>
    <w:p>
      <w:pPr>
        <w:pStyle w:val="BodyText"/>
        <w:spacing w:before="1"/>
        <w:ind w:left="726"/>
        <w:jc w:val="both"/>
      </w:pPr>
      <w:r>
        <w:rPr/>
        <w:t>Kontrolör talebin açık bir şekilde asılsız veya ölçüsüz olduğunu gösterme yükümlülüğünü taşır.</w:t>
      </w:r>
    </w:p>
    <w:p>
      <w:pPr>
        <w:pStyle w:val="BodyText"/>
        <w:spacing w:before="9"/>
        <w:rPr>
          <w:sz w:val="27"/>
        </w:rPr>
      </w:pPr>
    </w:p>
    <w:p>
      <w:pPr>
        <w:pStyle w:val="ListParagraph"/>
        <w:numPr>
          <w:ilvl w:val="0"/>
          <w:numId w:val="17"/>
        </w:numPr>
        <w:tabs>
          <w:tab w:pos="1140" w:val="left" w:leader="none"/>
        </w:tabs>
        <w:spacing w:line="276" w:lineRule="auto" w:before="0" w:after="0"/>
        <w:ind w:left="726" w:right="703" w:firstLine="0"/>
        <w:jc w:val="both"/>
        <w:rPr>
          <w:sz w:val="20"/>
        </w:rPr>
      </w:pPr>
      <w:r>
        <w:rPr>
          <w:sz w:val="20"/>
        </w:rPr>
        <w:t>11. maddeye halel gelmeksizin, kontrolörün 15 ila 21. maddelerde atıfta bulunulan talepte bulunan gerçek kişinin kimliği ile ilgili makul şüphelerinin bulunduğu hallerde, kontrolör veri sahibinin kimliğinin teyit edilmesi için gereken ek bilgilerin sağlanmasını talep</w:t>
      </w:r>
      <w:r>
        <w:rPr>
          <w:spacing w:val="-12"/>
          <w:sz w:val="20"/>
        </w:rPr>
        <w:t> </w:t>
      </w:r>
      <w:r>
        <w:rPr>
          <w:sz w:val="20"/>
        </w:rPr>
        <w:t>edebilir.</w:t>
      </w:r>
    </w:p>
    <w:p>
      <w:pPr>
        <w:pStyle w:val="BodyText"/>
        <w:rPr>
          <w:sz w:val="22"/>
        </w:rPr>
      </w:pPr>
    </w:p>
    <w:p>
      <w:pPr>
        <w:pStyle w:val="BodyText"/>
        <w:spacing w:before="3"/>
        <w:rPr>
          <w:sz w:val="25"/>
        </w:rPr>
      </w:pPr>
    </w:p>
    <w:p>
      <w:pPr>
        <w:pStyle w:val="ListParagraph"/>
        <w:numPr>
          <w:ilvl w:val="0"/>
          <w:numId w:val="17"/>
        </w:numPr>
        <w:tabs>
          <w:tab w:pos="1140" w:val="left" w:leader="none"/>
        </w:tabs>
        <w:spacing w:line="276" w:lineRule="auto" w:before="0" w:after="0"/>
        <w:ind w:left="726" w:right="700" w:firstLine="0"/>
        <w:jc w:val="both"/>
        <w:rPr>
          <w:sz w:val="20"/>
        </w:rPr>
      </w:pPr>
      <w:r>
        <w:rPr>
          <w:sz w:val="20"/>
        </w:rPr>
        <w:t>13 ve 14. maddeler uyarınca veri sahiplerine sağlanacak bilgiler, planlanan işleme faaliyetine yönelik anlamlı bir genel bakışın kolayca görülebilir, anlaşılabilir ve okunaklı bir biçimde sağlanması amacı ile standart simgelerle ile bir arada sağlanabilir. Simgelerin elektronik olarak sunulduğu hallerde, simgeler makine tarafından okunabilecek şekilde</w:t>
      </w:r>
      <w:r>
        <w:rPr>
          <w:spacing w:val="-5"/>
          <w:sz w:val="20"/>
        </w:rPr>
        <w:t> </w:t>
      </w:r>
      <w:r>
        <w:rPr>
          <w:sz w:val="20"/>
        </w:rPr>
        <w:t>sağlanır.</w:t>
      </w:r>
    </w:p>
    <w:p>
      <w:pPr>
        <w:pStyle w:val="BodyText"/>
        <w:rPr>
          <w:sz w:val="22"/>
        </w:rPr>
      </w:pPr>
    </w:p>
    <w:p>
      <w:pPr>
        <w:pStyle w:val="BodyText"/>
        <w:rPr>
          <w:sz w:val="25"/>
        </w:rPr>
      </w:pPr>
    </w:p>
    <w:p>
      <w:pPr>
        <w:pStyle w:val="ListParagraph"/>
        <w:numPr>
          <w:ilvl w:val="0"/>
          <w:numId w:val="17"/>
        </w:numPr>
        <w:tabs>
          <w:tab w:pos="1140" w:val="left" w:leader="none"/>
        </w:tabs>
        <w:spacing w:line="276" w:lineRule="auto" w:before="0" w:after="0"/>
        <w:ind w:left="726" w:right="701" w:firstLine="0"/>
        <w:jc w:val="both"/>
        <w:rPr>
          <w:sz w:val="20"/>
        </w:rPr>
      </w:pPr>
      <w:r>
        <w:rPr>
          <w:sz w:val="20"/>
        </w:rPr>
        <w:t>Komisyon simgeler ile sunulacak bilgilerin ve standart simgeler sağlanmasına yönelik usullerin belirlenmesi amacıyla 92. madde uyarınca yetki devrine dayanan tasarruflar kabul etmeye</w:t>
      </w:r>
      <w:r>
        <w:rPr>
          <w:spacing w:val="-37"/>
          <w:sz w:val="20"/>
        </w:rPr>
        <w:t> </w:t>
      </w:r>
      <w:r>
        <w:rPr>
          <w:sz w:val="20"/>
        </w:rPr>
        <w:t>yetkindir.</w:t>
      </w:r>
    </w:p>
    <w:p>
      <w:pPr>
        <w:pStyle w:val="BodyText"/>
        <w:spacing w:before="3"/>
        <w:rPr>
          <w:sz w:val="23"/>
        </w:rPr>
      </w:pPr>
    </w:p>
    <w:p>
      <w:pPr>
        <w:pStyle w:val="BodyText"/>
        <w:spacing w:before="1"/>
        <w:ind w:left="2207" w:right="2222"/>
        <w:jc w:val="center"/>
      </w:pPr>
      <w:r>
        <w:rPr/>
        <w:t>Kesim 2</w:t>
      </w:r>
    </w:p>
    <w:p>
      <w:pPr>
        <w:pStyle w:val="BodyText"/>
        <w:spacing w:before="11"/>
        <w:rPr>
          <w:sz w:val="26"/>
        </w:rPr>
      </w:pPr>
    </w:p>
    <w:p>
      <w:pPr>
        <w:pStyle w:val="Heading1"/>
        <w:ind w:right="2208"/>
      </w:pPr>
      <w:r>
        <w:rPr/>
        <w:t>Bilgiler ve kişisel verilere erişim</w:t>
      </w:r>
    </w:p>
    <w:p>
      <w:pPr>
        <w:pStyle w:val="BodyText"/>
        <w:rPr>
          <w:b/>
          <w:sz w:val="22"/>
        </w:rPr>
      </w:pPr>
    </w:p>
    <w:p>
      <w:pPr>
        <w:pStyle w:val="BodyText"/>
        <w:spacing w:before="10"/>
        <w:rPr>
          <w:b/>
          <w:sz w:val="27"/>
        </w:rPr>
      </w:pPr>
    </w:p>
    <w:p>
      <w:pPr>
        <w:pStyle w:val="BodyText"/>
        <w:spacing w:line="276" w:lineRule="auto" w:before="1"/>
        <w:ind w:left="5035" w:right="5053"/>
        <w:jc w:val="center"/>
      </w:pPr>
      <w:r>
        <w:rPr/>
        <w:t>Madde 13</w:t>
      </w:r>
    </w:p>
    <w:p>
      <w:pPr>
        <w:pStyle w:val="BodyText"/>
        <w:rPr>
          <w:sz w:val="22"/>
        </w:rPr>
      </w:pPr>
    </w:p>
    <w:p>
      <w:pPr>
        <w:pStyle w:val="BodyText"/>
        <w:spacing w:before="2"/>
        <w:rPr>
          <w:sz w:val="24"/>
        </w:rPr>
      </w:pPr>
    </w:p>
    <w:p>
      <w:pPr>
        <w:pStyle w:val="Heading1"/>
        <w:spacing w:before="1"/>
        <w:ind w:left="1267" w:right="1295"/>
      </w:pPr>
      <w:r>
        <w:rPr/>
        <w:t>Veri sahibinden kişisel verilerin toplandığı hallerde sağlanacak bilgiler</w:t>
      </w:r>
    </w:p>
    <w:p>
      <w:pPr>
        <w:spacing w:after="0"/>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19"/>
        </w:numPr>
        <w:tabs>
          <w:tab w:pos="1139" w:val="left" w:leader="none"/>
          <w:tab w:pos="1140" w:val="left" w:leader="none"/>
        </w:tabs>
        <w:spacing w:line="276" w:lineRule="auto" w:before="66" w:after="0"/>
        <w:ind w:left="726" w:right="698" w:firstLine="0"/>
        <w:jc w:val="left"/>
        <w:rPr>
          <w:sz w:val="20"/>
        </w:rPr>
      </w:pPr>
      <w:r>
        <w:rPr>
          <w:sz w:val="20"/>
        </w:rPr>
        <w:t>Bir veri sahibine ilişkin kişisel verilerin veri sahibinden toplanması durumunda, kontrolör kişisel verilerin elde edildiği anda aşağıdaki bilgilerin tamamını veri sahibine</w:t>
      </w:r>
      <w:r>
        <w:rPr>
          <w:spacing w:val="-14"/>
          <w:sz w:val="20"/>
        </w:rPr>
        <w:t> </w:t>
      </w:r>
      <w:r>
        <w:rPr>
          <w:sz w:val="20"/>
        </w:rPr>
        <w:t>sağlar:</w:t>
      </w:r>
    </w:p>
    <w:p>
      <w:pPr>
        <w:pStyle w:val="BodyText"/>
        <w:spacing w:before="1"/>
        <w:rPr>
          <w:sz w:val="23"/>
        </w:rPr>
      </w:pPr>
    </w:p>
    <w:p>
      <w:pPr>
        <w:pStyle w:val="ListParagraph"/>
        <w:numPr>
          <w:ilvl w:val="0"/>
          <w:numId w:val="20"/>
        </w:numPr>
        <w:tabs>
          <w:tab w:pos="1540" w:val="left" w:leader="none"/>
          <w:tab w:pos="1541" w:val="left" w:leader="none"/>
        </w:tabs>
        <w:spacing w:line="240" w:lineRule="auto" w:before="1" w:after="0"/>
        <w:ind w:left="1022" w:right="0" w:hanging="296"/>
        <w:jc w:val="left"/>
        <w:rPr>
          <w:sz w:val="20"/>
        </w:rPr>
      </w:pPr>
      <w:r>
        <w:rPr>
          <w:sz w:val="20"/>
        </w:rPr>
        <w:t>kontrolörün ve, uygun olduğu hallerde, kontrolörün temsilcisinin kimlik ve irtibat</w:t>
      </w:r>
      <w:r>
        <w:rPr>
          <w:spacing w:val="-18"/>
          <w:sz w:val="20"/>
        </w:rPr>
        <w:t> </w:t>
      </w:r>
      <w:r>
        <w:rPr>
          <w:sz w:val="20"/>
        </w:rPr>
        <w:t>bilgileri;</w:t>
      </w:r>
    </w:p>
    <w:p>
      <w:pPr>
        <w:pStyle w:val="ListParagraph"/>
        <w:numPr>
          <w:ilvl w:val="0"/>
          <w:numId w:val="20"/>
        </w:numPr>
        <w:tabs>
          <w:tab w:pos="1027" w:val="left" w:leader="none"/>
        </w:tabs>
        <w:spacing w:line="240" w:lineRule="auto" w:before="34" w:after="0"/>
        <w:ind w:left="1026" w:right="0" w:hanging="300"/>
        <w:jc w:val="left"/>
        <w:rPr>
          <w:sz w:val="20"/>
        </w:rPr>
      </w:pPr>
      <w:r>
        <w:rPr>
          <w:sz w:val="20"/>
        </w:rPr>
        <w:t>uygun olduğu hallerde, veri koruma görevlisinin irtibat</w:t>
      </w:r>
      <w:r>
        <w:rPr>
          <w:spacing w:val="-5"/>
          <w:sz w:val="20"/>
        </w:rPr>
        <w:t> </w:t>
      </w:r>
      <w:r>
        <w:rPr>
          <w:sz w:val="20"/>
        </w:rPr>
        <w:t>bilgileri;</w:t>
      </w:r>
    </w:p>
    <w:p>
      <w:pPr>
        <w:pStyle w:val="ListParagraph"/>
        <w:numPr>
          <w:ilvl w:val="0"/>
          <w:numId w:val="20"/>
        </w:numPr>
        <w:tabs>
          <w:tab w:pos="1015" w:val="left" w:leader="none"/>
        </w:tabs>
        <w:spacing w:line="240" w:lineRule="auto" w:before="70" w:after="0"/>
        <w:ind w:left="1014" w:right="0" w:hanging="288"/>
        <w:jc w:val="left"/>
        <w:rPr>
          <w:sz w:val="20"/>
        </w:rPr>
      </w:pPr>
      <w:r>
        <w:rPr>
          <w:sz w:val="20"/>
        </w:rPr>
        <w:t>kişisel verilerin planlanan işlenme amaçlarının yanı sıra işleme faaliyetinin yasal</w:t>
      </w:r>
      <w:r>
        <w:rPr>
          <w:spacing w:val="-18"/>
          <w:sz w:val="20"/>
        </w:rPr>
        <w:t> </w:t>
      </w:r>
      <w:r>
        <w:rPr>
          <w:sz w:val="20"/>
        </w:rPr>
        <w:t>dayanağı;</w:t>
      </w:r>
    </w:p>
    <w:p>
      <w:pPr>
        <w:pStyle w:val="BodyText"/>
        <w:rPr>
          <w:sz w:val="22"/>
        </w:rPr>
      </w:pPr>
    </w:p>
    <w:p>
      <w:pPr>
        <w:pStyle w:val="BodyText"/>
        <w:spacing w:before="5"/>
        <w:rPr>
          <w:sz w:val="31"/>
        </w:rPr>
      </w:pPr>
    </w:p>
    <w:p>
      <w:pPr>
        <w:pStyle w:val="ListParagraph"/>
        <w:numPr>
          <w:ilvl w:val="0"/>
          <w:numId w:val="20"/>
        </w:numPr>
        <w:tabs>
          <w:tab w:pos="1036" w:val="left" w:leader="none"/>
        </w:tabs>
        <w:spacing w:line="276" w:lineRule="auto" w:before="0" w:after="0"/>
        <w:ind w:left="1022" w:right="688" w:hanging="296"/>
        <w:jc w:val="both"/>
        <w:rPr>
          <w:sz w:val="20"/>
        </w:rPr>
      </w:pPr>
      <w:r>
        <w:rPr>
          <w:sz w:val="20"/>
        </w:rPr>
        <w:t>işleme faaliyetinin 6(1) maddesinin (f) bendine dayanması durumunda, kontrolör veya üçüncü bir kişi tarafından gözetilen meşru</w:t>
      </w:r>
      <w:r>
        <w:rPr>
          <w:spacing w:val="-4"/>
          <w:sz w:val="20"/>
        </w:rPr>
        <w:t> </w:t>
      </w:r>
      <w:r>
        <w:rPr>
          <w:sz w:val="20"/>
        </w:rPr>
        <w:t>menfaatler;</w:t>
      </w:r>
    </w:p>
    <w:p>
      <w:pPr>
        <w:pStyle w:val="BodyText"/>
        <w:spacing w:before="3"/>
        <w:rPr>
          <w:sz w:val="23"/>
        </w:rPr>
      </w:pPr>
    </w:p>
    <w:p>
      <w:pPr>
        <w:pStyle w:val="ListParagraph"/>
        <w:numPr>
          <w:ilvl w:val="0"/>
          <w:numId w:val="20"/>
        </w:numPr>
        <w:tabs>
          <w:tab w:pos="1027" w:val="left" w:leader="none"/>
        </w:tabs>
        <w:spacing w:line="240" w:lineRule="auto" w:before="0" w:after="0"/>
        <w:ind w:left="1026" w:right="0" w:hanging="300"/>
        <w:jc w:val="left"/>
        <w:rPr>
          <w:sz w:val="20"/>
        </w:rPr>
      </w:pPr>
      <w:r>
        <w:rPr>
          <w:sz w:val="20"/>
        </w:rPr>
        <w:t>varsa, kişisel verilerin alıcıları veya alıcı</w:t>
      </w:r>
      <w:r>
        <w:rPr>
          <w:spacing w:val="-6"/>
          <w:sz w:val="20"/>
        </w:rPr>
        <w:t> </w:t>
      </w:r>
      <w:r>
        <w:rPr>
          <w:sz w:val="20"/>
        </w:rPr>
        <w:t>kategorileri;</w:t>
      </w:r>
    </w:p>
    <w:p>
      <w:pPr>
        <w:pStyle w:val="BodyText"/>
        <w:spacing w:before="5"/>
        <w:rPr>
          <w:sz w:val="27"/>
        </w:rPr>
      </w:pPr>
    </w:p>
    <w:p>
      <w:pPr>
        <w:pStyle w:val="ListParagraph"/>
        <w:numPr>
          <w:ilvl w:val="0"/>
          <w:numId w:val="20"/>
        </w:numPr>
        <w:tabs>
          <w:tab w:pos="1051" w:val="left" w:leader="none"/>
        </w:tabs>
        <w:spacing w:line="276" w:lineRule="auto" w:before="0" w:after="0"/>
        <w:ind w:left="1022" w:right="692" w:hanging="296"/>
        <w:jc w:val="both"/>
        <w:rPr>
          <w:sz w:val="20"/>
        </w:rPr>
      </w:pPr>
      <w:r>
        <w:rPr>
          <w:sz w:val="20"/>
        </w:rPr>
        <w:t>uygun olduğu hallerde, kontrolörün kişisel verileri üçüncü bir ülke veya uluslararası kuruluşa aktarmayı amaçladığı ve Komisyon tarafından bir yeterlilik kararı verilip verilmediği ya da, 46 veya 47. maddelerde veya 49(1) maddesinin ikinci alt paragrafında atıfta bulunulan aktarımlar olması halinde, uygun veya münasip güvencelere ilişkin atıf ve bunların bir nüshasının elde edilme yolları veya bunların nerede</w:t>
      </w:r>
      <w:r>
        <w:rPr>
          <w:spacing w:val="-1"/>
          <w:sz w:val="20"/>
        </w:rPr>
        <w:t> </w:t>
      </w:r>
      <w:r>
        <w:rPr>
          <w:sz w:val="20"/>
        </w:rPr>
        <w:t>sağlandığı.</w:t>
      </w:r>
    </w:p>
    <w:p>
      <w:pPr>
        <w:pStyle w:val="BodyText"/>
        <w:spacing w:before="3"/>
        <w:rPr>
          <w:sz w:val="24"/>
        </w:rPr>
      </w:pPr>
    </w:p>
    <w:p>
      <w:pPr>
        <w:pStyle w:val="ListParagraph"/>
        <w:numPr>
          <w:ilvl w:val="0"/>
          <w:numId w:val="19"/>
        </w:numPr>
        <w:tabs>
          <w:tab w:pos="975" w:val="left" w:leader="none"/>
        </w:tabs>
        <w:spacing w:line="276" w:lineRule="auto" w:before="0" w:after="0"/>
        <w:ind w:left="726" w:right="700" w:firstLine="0"/>
        <w:jc w:val="left"/>
        <w:rPr>
          <w:sz w:val="20"/>
        </w:rPr>
      </w:pPr>
      <w:r>
        <w:rPr>
          <w:sz w:val="20"/>
        </w:rPr>
        <w:t>1. paragrafta atıfta bulunulan bilgilere ek olarak, kontrolör kişisel verilerin elde edildiği anda adil ve şeffaf bir işleme sağlanması için gereken aşağıdaki ek bilgileri veri sahibine</w:t>
      </w:r>
      <w:r>
        <w:rPr>
          <w:spacing w:val="-15"/>
          <w:sz w:val="20"/>
        </w:rPr>
        <w:t> </w:t>
      </w:r>
      <w:r>
        <w:rPr>
          <w:sz w:val="20"/>
        </w:rPr>
        <w:t>sağlar:</w:t>
      </w:r>
    </w:p>
    <w:p>
      <w:pPr>
        <w:pStyle w:val="BodyText"/>
        <w:spacing w:before="1"/>
        <w:rPr>
          <w:sz w:val="24"/>
        </w:rPr>
      </w:pPr>
    </w:p>
    <w:p>
      <w:pPr>
        <w:pStyle w:val="ListParagraph"/>
        <w:numPr>
          <w:ilvl w:val="0"/>
          <w:numId w:val="21"/>
        </w:numPr>
        <w:tabs>
          <w:tab w:pos="1056" w:val="left" w:leader="none"/>
        </w:tabs>
        <w:spacing w:line="278" w:lineRule="auto" w:before="0" w:after="0"/>
        <w:ind w:left="1022" w:right="698" w:hanging="296"/>
        <w:jc w:val="both"/>
        <w:rPr>
          <w:sz w:val="20"/>
        </w:rPr>
      </w:pPr>
      <w:r>
        <w:rPr>
          <w:sz w:val="20"/>
        </w:rPr>
        <w:t>kişisel verilerin saklanacağı süre veya, bunun mümkün olmaması halinde, bu sürenin belirlenmesi amacı ile kullanılan</w:t>
      </w:r>
      <w:r>
        <w:rPr>
          <w:spacing w:val="-4"/>
          <w:sz w:val="20"/>
        </w:rPr>
        <w:t> </w:t>
      </w:r>
      <w:r>
        <w:rPr>
          <w:sz w:val="20"/>
        </w:rPr>
        <w:t>kriterler;</w:t>
      </w:r>
    </w:p>
    <w:p>
      <w:pPr>
        <w:pStyle w:val="BodyText"/>
        <w:spacing w:before="8"/>
        <w:rPr>
          <w:sz w:val="22"/>
        </w:rPr>
      </w:pPr>
    </w:p>
    <w:p>
      <w:pPr>
        <w:pStyle w:val="ListParagraph"/>
        <w:numPr>
          <w:ilvl w:val="0"/>
          <w:numId w:val="21"/>
        </w:numPr>
        <w:tabs>
          <w:tab w:pos="1023" w:val="left" w:leader="none"/>
        </w:tabs>
        <w:spacing w:line="276" w:lineRule="auto" w:before="1" w:after="0"/>
        <w:ind w:left="1022" w:right="700" w:hanging="296"/>
        <w:jc w:val="both"/>
        <w:rPr>
          <w:sz w:val="20"/>
        </w:rPr>
      </w:pPr>
      <w:r>
        <w:rPr>
          <w:sz w:val="20"/>
        </w:rPr>
        <w:t>kontrolörden kişisel verilere erişim ve kişisel verilerin düzeltilmesi ya da silinmesini veya veri sahibi ile ilgili işleme faaliyetinin kısıtlanmasını talep etme ya da işleme faaliyetine itiraz etme hakkının yanı sıra verilerin taşınabilirliği hakkının</w:t>
      </w:r>
      <w:r>
        <w:rPr>
          <w:spacing w:val="-7"/>
          <w:sz w:val="20"/>
        </w:rPr>
        <w:t> </w:t>
      </w:r>
      <w:r>
        <w:rPr>
          <w:sz w:val="20"/>
        </w:rPr>
        <w:t>varlığı;</w:t>
      </w:r>
    </w:p>
    <w:p>
      <w:pPr>
        <w:pStyle w:val="BodyText"/>
        <w:rPr>
          <w:sz w:val="23"/>
        </w:rPr>
      </w:pPr>
    </w:p>
    <w:p>
      <w:pPr>
        <w:pStyle w:val="ListParagraph"/>
        <w:numPr>
          <w:ilvl w:val="0"/>
          <w:numId w:val="21"/>
        </w:numPr>
        <w:tabs>
          <w:tab w:pos="1022" w:val="left" w:leader="none"/>
        </w:tabs>
        <w:spacing w:line="276" w:lineRule="auto" w:before="0" w:after="0"/>
        <w:ind w:left="1022" w:right="693" w:hanging="296"/>
        <w:jc w:val="both"/>
        <w:rPr>
          <w:sz w:val="20"/>
        </w:rPr>
      </w:pPr>
      <w:r>
        <w:rPr>
          <w:sz w:val="20"/>
        </w:rPr>
        <w:t>işleme faaliyetinin 6(1) maddesinin (a) bendine veya 9(2) maddesinin (a) bendine dayandığı hallerde, rızanın geri çekilmesinden önce rızaya dayalı olarak gerçekleştirilen işleme faaliyetinin hukuka uygunluğu etkilenmeden, herhangi bir zamanda rızayı geri çekme hakkının</w:t>
      </w:r>
      <w:r>
        <w:rPr>
          <w:spacing w:val="-16"/>
          <w:sz w:val="20"/>
        </w:rPr>
        <w:t> </w:t>
      </w:r>
      <w:r>
        <w:rPr>
          <w:sz w:val="20"/>
        </w:rPr>
        <w:t>varlığı;</w:t>
      </w:r>
    </w:p>
    <w:p>
      <w:pPr>
        <w:pStyle w:val="BodyText"/>
        <w:spacing w:before="3"/>
        <w:rPr>
          <w:sz w:val="23"/>
        </w:rPr>
      </w:pPr>
    </w:p>
    <w:p>
      <w:pPr>
        <w:pStyle w:val="ListParagraph"/>
        <w:numPr>
          <w:ilvl w:val="0"/>
          <w:numId w:val="21"/>
        </w:numPr>
        <w:tabs>
          <w:tab w:pos="1027" w:val="left" w:leader="none"/>
        </w:tabs>
        <w:spacing w:line="240" w:lineRule="auto" w:before="0" w:after="0"/>
        <w:ind w:left="1026" w:right="0" w:hanging="300"/>
        <w:jc w:val="left"/>
        <w:rPr>
          <w:sz w:val="20"/>
        </w:rPr>
      </w:pPr>
      <w:r>
        <w:rPr>
          <w:sz w:val="20"/>
        </w:rPr>
        <w:t>bir denetim makamına şikayette bulunma</w:t>
      </w:r>
      <w:r>
        <w:rPr>
          <w:spacing w:val="-2"/>
          <w:sz w:val="20"/>
        </w:rPr>
        <w:t> </w:t>
      </w:r>
      <w:r>
        <w:rPr>
          <w:sz w:val="20"/>
        </w:rPr>
        <w:t>hakkı;</w:t>
      </w:r>
    </w:p>
    <w:p>
      <w:pPr>
        <w:pStyle w:val="BodyText"/>
        <w:spacing w:before="4"/>
        <w:rPr>
          <w:sz w:val="27"/>
        </w:rPr>
      </w:pPr>
    </w:p>
    <w:p>
      <w:pPr>
        <w:pStyle w:val="ListParagraph"/>
        <w:numPr>
          <w:ilvl w:val="0"/>
          <w:numId w:val="21"/>
        </w:numPr>
        <w:tabs>
          <w:tab w:pos="1063" w:val="left" w:leader="none"/>
        </w:tabs>
        <w:spacing w:line="276" w:lineRule="auto" w:before="0" w:after="0"/>
        <w:ind w:left="1022" w:right="694" w:hanging="296"/>
        <w:jc w:val="both"/>
        <w:rPr>
          <w:sz w:val="20"/>
        </w:rPr>
      </w:pPr>
      <w:r>
        <w:rPr>
          <w:sz w:val="20"/>
        </w:rPr>
        <w:t>kişisel verilerin sağlanmasının yasal ya da sözleşmeye bağlı bir gereklilik mi yoksa bir sözleşme yapılması için gereken bir gereklilik mi olduğu ve ayrıca, veri sahibinin kişisel verileri sağlamak zorunda olup olmadığı ve söz konusu verilerin sağlanmamasının muhtemel</w:t>
      </w:r>
      <w:r>
        <w:rPr>
          <w:spacing w:val="-20"/>
          <w:sz w:val="20"/>
        </w:rPr>
        <w:t> </w:t>
      </w:r>
      <w:r>
        <w:rPr>
          <w:sz w:val="20"/>
        </w:rPr>
        <w:t>sonuçları;</w:t>
      </w:r>
    </w:p>
    <w:p>
      <w:pPr>
        <w:pStyle w:val="BodyText"/>
        <w:spacing w:before="4"/>
        <w:rPr>
          <w:sz w:val="24"/>
        </w:rPr>
      </w:pPr>
    </w:p>
    <w:p>
      <w:pPr>
        <w:pStyle w:val="ListParagraph"/>
        <w:numPr>
          <w:ilvl w:val="0"/>
          <w:numId w:val="21"/>
        </w:numPr>
        <w:tabs>
          <w:tab w:pos="1034" w:val="left" w:leader="none"/>
        </w:tabs>
        <w:spacing w:line="276" w:lineRule="auto" w:before="0" w:after="0"/>
        <w:ind w:left="1022" w:right="694" w:hanging="296"/>
        <w:jc w:val="both"/>
        <w:rPr>
          <w:sz w:val="20"/>
        </w:rPr>
      </w:pPr>
      <w:r>
        <w:rPr>
          <w:sz w:val="20"/>
        </w:rPr>
        <w:t>profil çıkarma da dahil olmak üzere 22(1) ve (4) maddelerinde atıfta bulunulan otomatik karar vermenin varlığı ve, en azından bu hallerde, yürütülen mantığa ilişkin anlamlı bilgilerin yanı sıra söz konusu işleme faaliyetinin veri sahibi açısından önemi ve öngörülen</w:t>
      </w:r>
      <w:r>
        <w:rPr>
          <w:spacing w:val="-13"/>
          <w:sz w:val="20"/>
        </w:rPr>
        <w:t> </w:t>
      </w:r>
      <w:r>
        <w:rPr>
          <w:sz w:val="20"/>
        </w:rPr>
        <w:t>sonuçları.</w:t>
      </w:r>
    </w:p>
    <w:p>
      <w:pPr>
        <w:pStyle w:val="BodyText"/>
        <w:spacing w:before="1"/>
        <w:rPr>
          <w:sz w:val="24"/>
        </w:rPr>
      </w:pPr>
    </w:p>
    <w:p>
      <w:pPr>
        <w:pStyle w:val="ListParagraph"/>
        <w:numPr>
          <w:ilvl w:val="0"/>
          <w:numId w:val="19"/>
        </w:numPr>
        <w:tabs>
          <w:tab w:pos="1071" w:val="left" w:leader="none"/>
        </w:tabs>
        <w:spacing w:line="276" w:lineRule="auto" w:before="0" w:after="0"/>
        <w:ind w:left="726" w:right="701" w:firstLine="0"/>
        <w:jc w:val="both"/>
        <w:rPr>
          <w:sz w:val="20"/>
        </w:rPr>
      </w:pPr>
      <w:r>
        <w:rPr>
          <w:sz w:val="20"/>
        </w:rPr>
        <w:t>Kontrolörün kişisel verileri bu verilerin toplanma amacı dışında bir amaçla işleme faaliyetine niyet ettiği hallerde, kontrolör söz konusu işleme faaliyetinden önce diğer amaca ilişkin bilgileri ve 2.  paragrafta atıfta bulunulan diğer ilgili bilgileri veri sahibine</w:t>
      </w:r>
      <w:r>
        <w:rPr>
          <w:spacing w:val="-8"/>
          <w:sz w:val="20"/>
        </w:rPr>
        <w:t> </w:t>
      </w:r>
      <w:r>
        <w:rPr>
          <w:sz w:val="20"/>
        </w:rPr>
        <w:t>sağlar.</w:t>
      </w:r>
    </w:p>
    <w:p>
      <w:pPr>
        <w:pStyle w:val="BodyText"/>
        <w:spacing w:before="1"/>
        <w:rPr>
          <w:sz w:val="23"/>
        </w:rPr>
      </w:pPr>
    </w:p>
    <w:p>
      <w:pPr>
        <w:pStyle w:val="ListParagraph"/>
        <w:numPr>
          <w:ilvl w:val="0"/>
          <w:numId w:val="19"/>
        </w:numPr>
        <w:tabs>
          <w:tab w:pos="1122" w:val="left" w:leader="none"/>
          <w:tab w:pos="1123" w:val="left" w:leader="none"/>
        </w:tabs>
        <w:spacing w:line="276" w:lineRule="auto" w:before="0" w:after="0"/>
        <w:ind w:left="726" w:right="687" w:firstLine="0"/>
        <w:jc w:val="left"/>
        <w:rPr>
          <w:sz w:val="20"/>
        </w:rPr>
      </w:pPr>
      <w:r>
        <w:rPr>
          <w:sz w:val="20"/>
        </w:rPr>
        <w:t>Veri sahibinin halihazırda bu bilgilere sahip olduğu hallerde ve ölçüde, 1, 2 ve 3. paragraflar uygulanmaz.</w:t>
      </w:r>
    </w:p>
    <w:p>
      <w:pPr>
        <w:pStyle w:val="BodyText"/>
        <w:spacing w:before="11"/>
        <w:rPr>
          <w:sz w:val="23"/>
        </w:rPr>
      </w:pPr>
    </w:p>
    <w:p>
      <w:pPr>
        <w:pStyle w:val="BodyText"/>
        <w:spacing w:line="276" w:lineRule="auto"/>
        <w:ind w:left="5035" w:right="5053"/>
        <w:jc w:val="center"/>
      </w:pPr>
      <w:r>
        <w:rPr/>
        <w:t>Madde 14</w:t>
      </w:r>
    </w:p>
    <w:p>
      <w:pPr>
        <w:pStyle w:val="BodyText"/>
        <w:rPr>
          <w:sz w:val="22"/>
        </w:rPr>
      </w:pPr>
    </w:p>
    <w:p>
      <w:pPr>
        <w:pStyle w:val="BodyText"/>
        <w:spacing w:before="10"/>
        <w:rPr>
          <w:sz w:val="24"/>
        </w:rPr>
      </w:pPr>
    </w:p>
    <w:p>
      <w:pPr>
        <w:pStyle w:val="Heading1"/>
        <w:ind w:left="1272" w:right="1294"/>
      </w:pPr>
      <w:r>
        <w:rPr/>
        <w:t>Kişisel verilerin veri sahibinden alınmadığı hallerde sağlanacak bilgiler</w:t>
      </w:r>
    </w:p>
    <w:p>
      <w:pPr>
        <w:spacing w:after="0"/>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22"/>
        </w:numPr>
        <w:tabs>
          <w:tab w:pos="996" w:val="left" w:leader="none"/>
        </w:tabs>
        <w:spacing w:line="276" w:lineRule="auto" w:before="66" w:after="0"/>
        <w:ind w:left="726" w:right="699" w:firstLine="0"/>
        <w:jc w:val="left"/>
        <w:rPr>
          <w:sz w:val="20"/>
        </w:rPr>
      </w:pPr>
      <w:r>
        <w:rPr>
          <w:sz w:val="20"/>
        </w:rPr>
        <w:t>Kişisel verilerin veri sahibinden alınmaması durumunda, kontrolör veri sahibine aşağıdaki bilgileri sağlar:</w:t>
      </w:r>
    </w:p>
    <w:p>
      <w:pPr>
        <w:pStyle w:val="BodyText"/>
        <w:spacing w:before="4"/>
        <w:rPr>
          <w:sz w:val="23"/>
        </w:rPr>
      </w:pPr>
    </w:p>
    <w:p>
      <w:pPr>
        <w:pStyle w:val="BodyText"/>
        <w:spacing w:line="276" w:lineRule="auto"/>
        <w:ind w:left="726" w:right="1671"/>
      </w:pPr>
      <w:r>
        <w:rPr/>
        <w:t>(a) kontrolörün ve, uygun olduğu hallerde, kontrolörün temsilcisinin kimlik ve irtibat bilgileri; (b) uygun olduğu hallerde, veri koruma görevlisinin irtibat bilgileri;</w:t>
      </w:r>
    </w:p>
    <w:p>
      <w:pPr>
        <w:pStyle w:val="BodyText"/>
        <w:spacing w:line="276" w:lineRule="auto" w:before="30"/>
        <w:ind w:left="726" w:right="830"/>
      </w:pPr>
      <w:r>
        <w:rPr/>
        <w:t>(c) kişisel verilerin planlanan işlenme amaçlarının yanı sıra işleme faaliyetinin yasal dayanağı; (d) ilgili kişisel veri kategorileri;</w:t>
      </w:r>
    </w:p>
    <w:p>
      <w:pPr>
        <w:pStyle w:val="ListParagraph"/>
        <w:numPr>
          <w:ilvl w:val="0"/>
          <w:numId w:val="23"/>
        </w:numPr>
        <w:tabs>
          <w:tab w:pos="1027" w:val="left" w:leader="none"/>
        </w:tabs>
        <w:spacing w:line="240" w:lineRule="auto" w:before="31" w:after="0"/>
        <w:ind w:left="1022" w:right="0" w:hanging="296"/>
        <w:jc w:val="left"/>
        <w:rPr>
          <w:sz w:val="20"/>
        </w:rPr>
      </w:pPr>
      <w:r>
        <w:rPr>
          <w:sz w:val="20"/>
        </w:rPr>
        <w:t>varsa, kişisel verilerin alıcıları veya alıcı</w:t>
      </w:r>
      <w:r>
        <w:rPr>
          <w:spacing w:val="-6"/>
          <w:sz w:val="20"/>
        </w:rPr>
        <w:t> </w:t>
      </w:r>
      <w:r>
        <w:rPr>
          <w:sz w:val="20"/>
        </w:rPr>
        <w:t>kategorileri;</w:t>
      </w:r>
    </w:p>
    <w:p>
      <w:pPr>
        <w:pStyle w:val="BodyText"/>
        <w:spacing w:before="3"/>
        <w:rPr>
          <w:sz w:val="30"/>
        </w:rPr>
      </w:pPr>
    </w:p>
    <w:p>
      <w:pPr>
        <w:pStyle w:val="ListParagraph"/>
        <w:numPr>
          <w:ilvl w:val="0"/>
          <w:numId w:val="23"/>
        </w:numPr>
        <w:tabs>
          <w:tab w:pos="1051" w:val="left" w:leader="none"/>
        </w:tabs>
        <w:spacing w:line="276" w:lineRule="auto" w:before="0" w:after="0"/>
        <w:ind w:left="1022" w:right="691" w:hanging="296"/>
        <w:jc w:val="both"/>
        <w:rPr>
          <w:sz w:val="20"/>
        </w:rPr>
      </w:pPr>
      <w:r>
        <w:rPr>
          <w:sz w:val="20"/>
        </w:rPr>
        <w:t>uygun olduğu hallerde, kontrolörün kişisel verileri üçüncü bir ülke veya uluslararası kuruluşa aktarmayı amaçladığı ve Komisyon tarafından bir yeterlilik kararı verilip verilmediği ya da, 46 veya 47. maddelerde veya 49(1) maddesinin ikinci alt paragrafında atıfta bulunulan aktarımlar olması halinde, uygun veya münasip güvencelere ilişkin atıf ve bunların bir nüshasının elde edilme yolları veya bunların nerede</w:t>
      </w:r>
      <w:r>
        <w:rPr>
          <w:spacing w:val="-1"/>
          <w:sz w:val="20"/>
        </w:rPr>
        <w:t> </w:t>
      </w:r>
      <w:r>
        <w:rPr>
          <w:sz w:val="20"/>
        </w:rPr>
        <w:t>sağlandığı.</w:t>
      </w:r>
    </w:p>
    <w:p>
      <w:pPr>
        <w:pStyle w:val="BodyText"/>
        <w:rPr>
          <w:sz w:val="22"/>
        </w:rPr>
      </w:pPr>
    </w:p>
    <w:p>
      <w:pPr>
        <w:pStyle w:val="BodyText"/>
        <w:spacing w:before="2"/>
        <w:rPr>
          <w:sz w:val="24"/>
        </w:rPr>
      </w:pPr>
    </w:p>
    <w:p>
      <w:pPr>
        <w:pStyle w:val="ListParagraph"/>
        <w:numPr>
          <w:ilvl w:val="0"/>
          <w:numId w:val="22"/>
        </w:numPr>
        <w:tabs>
          <w:tab w:pos="948" w:val="left" w:leader="none"/>
        </w:tabs>
        <w:spacing w:line="278" w:lineRule="auto" w:before="0" w:after="0"/>
        <w:ind w:left="726" w:right="728" w:firstLine="0"/>
        <w:jc w:val="left"/>
        <w:rPr>
          <w:sz w:val="20"/>
        </w:rPr>
      </w:pPr>
      <w:r>
        <w:rPr>
          <w:sz w:val="20"/>
        </w:rPr>
        <w:t>1. paragrafta atıfta bulunulan bilgilere ek olarak, kontrolör veri sahibi açısından adil ve şeffaf bir işleme faaliyetinin sağlanması için gereken aşağıdaki bilgileri veri sahibine</w:t>
      </w:r>
      <w:r>
        <w:rPr>
          <w:spacing w:val="-17"/>
          <w:sz w:val="20"/>
        </w:rPr>
        <w:t> </w:t>
      </w:r>
      <w:r>
        <w:rPr>
          <w:sz w:val="20"/>
        </w:rPr>
        <w:t>sağlar:</w:t>
      </w:r>
    </w:p>
    <w:p>
      <w:pPr>
        <w:pStyle w:val="BodyText"/>
        <w:rPr>
          <w:sz w:val="22"/>
        </w:rPr>
      </w:pPr>
    </w:p>
    <w:p>
      <w:pPr>
        <w:pStyle w:val="BodyText"/>
        <w:spacing w:before="10"/>
        <w:rPr>
          <w:sz w:val="23"/>
        </w:rPr>
      </w:pPr>
    </w:p>
    <w:p>
      <w:pPr>
        <w:pStyle w:val="ListParagraph"/>
        <w:numPr>
          <w:ilvl w:val="0"/>
          <w:numId w:val="24"/>
        </w:numPr>
        <w:tabs>
          <w:tab w:pos="1056" w:val="left" w:leader="none"/>
        </w:tabs>
        <w:spacing w:line="276" w:lineRule="auto" w:before="0" w:after="0"/>
        <w:ind w:left="1022" w:right="699" w:hanging="296"/>
        <w:jc w:val="both"/>
        <w:rPr>
          <w:sz w:val="20"/>
        </w:rPr>
      </w:pPr>
      <w:r>
        <w:rPr>
          <w:sz w:val="20"/>
        </w:rPr>
        <w:t>kişisel verilerin saklanacağı süre veya, bunun mümkün olmaması halinde, bu sürenin belirlenmesi amacı ile kullanılan</w:t>
      </w:r>
      <w:r>
        <w:rPr>
          <w:spacing w:val="-4"/>
          <w:sz w:val="20"/>
        </w:rPr>
        <w:t> </w:t>
      </w:r>
      <w:r>
        <w:rPr>
          <w:sz w:val="20"/>
        </w:rPr>
        <w:t>kriterler;</w:t>
      </w:r>
    </w:p>
    <w:p>
      <w:pPr>
        <w:pStyle w:val="BodyText"/>
        <w:rPr>
          <w:sz w:val="22"/>
        </w:rPr>
      </w:pPr>
    </w:p>
    <w:p>
      <w:pPr>
        <w:pStyle w:val="BodyText"/>
        <w:spacing w:before="3"/>
        <w:rPr>
          <w:sz w:val="24"/>
        </w:rPr>
      </w:pPr>
    </w:p>
    <w:p>
      <w:pPr>
        <w:pStyle w:val="ListParagraph"/>
        <w:numPr>
          <w:ilvl w:val="0"/>
          <w:numId w:val="24"/>
        </w:numPr>
        <w:tabs>
          <w:tab w:pos="1036" w:val="left" w:leader="none"/>
        </w:tabs>
        <w:spacing w:line="276" w:lineRule="auto" w:before="0" w:after="0"/>
        <w:ind w:left="1022" w:right="692" w:hanging="296"/>
        <w:jc w:val="both"/>
        <w:rPr>
          <w:sz w:val="20"/>
        </w:rPr>
      </w:pPr>
      <w:r>
        <w:rPr>
          <w:sz w:val="20"/>
        </w:rPr>
        <w:t>işleme faaliyetinin 6(1) maddesinin (f) bendine dayanması durumunda, kontrolör veya üçüncü bir kişi tarafından gözetilen meşru</w:t>
      </w:r>
      <w:r>
        <w:rPr>
          <w:spacing w:val="-4"/>
          <w:sz w:val="20"/>
        </w:rPr>
        <w:t> </w:t>
      </w:r>
      <w:r>
        <w:rPr>
          <w:sz w:val="20"/>
        </w:rPr>
        <w:t>menfaatler;</w:t>
      </w:r>
    </w:p>
    <w:p>
      <w:pPr>
        <w:pStyle w:val="BodyText"/>
        <w:rPr>
          <w:sz w:val="22"/>
        </w:rPr>
      </w:pPr>
    </w:p>
    <w:p>
      <w:pPr>
        <w:pStyle w:val="BodyText"/>
        <w:rPr>
          <w:sz w:val="24"/>
        </w:rPr>
      </w:pPr>
    </w:p>
    <w:p>
      <w:pPr>
        <w:pStyle w:val="ListParagraph"/>
        <w:numPr>
          <w:ilvl w:val="0"/>
          <w:numId w:val="24"/>
        </w:numPr>
        <w:tabs>
          <w:tab w:pos="1017" w:val="left" w:leader="none"/>
        </w:tabs>
        <w:spacing w:line="276" w:lineRule="auto" w:before="1" w:after="0"/>
        <w:ind w:left="1022" w:right="697" w:hanging="296"/>
        <w:jc w:val="both"/>
        <w:rPr>
          <w:sz w:val="20"/>
        </w:rPr>
      </w:pPr>
      <w:r>
        <w:rPr>
          <w:sz w:val="20"/>
        </w:rPr>
        <w:t>kontrolörden kişisel verilere erişim ve kişisel verilerin düzeltilmesi ya da silinmesini veya veri sahibi ile ilgili işleme faaliyetinin kısıtlanmasını talep etme ve işleme faaliyetine itiraz etme hakkının yanı sıra verilerin taşınabilirliği hakkının</w:t>
      </w:r>
      <w:r>
        <w:rPr>
          <w:spacing w:val="-2"/>
          <w:sz w:val="20"/>
        </w:rPr>
        <w:t> </w:t>
      </w:r>
      <w:r>
        <w:rPr>
          <w:sz w:val="20"/>
        </w:rPr>
        <w:t>varlığı;</w:t>
      </w:r>
    </w:p>
    <w:p>
      <w:pPr>
        <w:pStyle w:val="BodyText"/>
        <w:rPr>
          <w:sz w:val="23"/>
        </w:rPr>
      </w:pPr>
    </w:p>
    <w:p>
      <w:pPr>
        <w:pStyle w:val="ListParagraph"/>
        <w:numPr>
          <w:ilvl w:val="0"/>
          <w:numId w:val="24"/>
        </w:numPr>
        <w:tabs>
          <w:tab w:pos="1032" w:val="left" w:leader="none"/>
        </w:tabs>
        <w:spacing w:line="276" w:lineRule="auto" w:before="0" w:after="0"/>
        <w:ind w:left="1022" w:right="689" w:hanging="296"/>
        <w:jc w:val="both"/>
        <w:rPr>
          <w:sz w:val="20"/>
        </w:rPr>
      </w:pPr>
      <w:r>
        <w:rPr>
          <w:sz w:val="20"/>
        </w:rPr>
        <w:t>işleme faaliyetinin 6(1) maddesinin (a) bendine veya 9(2) maddesinin (a) bendine dayandığı hallerde, rızanın geri çekilmesinden önce rızaya dayalı olarak gerçekleştirilen işleme faaliyetinin hukuka uygunluğu etkilenmeden, herhangi bir zamanda rızayı geri çekme hakkının</w:t>
      </w:r>
      <w:r>
        <w:rPr>
          <w:spacing w:val="-16"/>
          <w:sz w:val="20"/>
        </w:rPr>
        <w:t> </w:t>
      </w:r>
      <w:r>
        <w:rPr>
          <w:sz w:val="20"/>
        </w:rPr>
        <w:t>varlığı;</w:t>
      </w:r>
    </w:p>
    <w:p>
      <w:pPr>
        <w:pStyle w:val="BodyText"/>
        <w:spacing w:before="11"/>
        <w:rPr>
          <w:sz w:val="23"/>
        </w:rPr>
      </w:pPr>
    </w:p>
    <w:p>
      <w:pPr>
        <w:pStyle w:val="ListParagraph"/>
        <w:numPr>
          <w:ilvl w:val="0"/>
          <w:numId w:val="24"/>
        </w:numPr>
        <w:tabs>
          <w:tab w:pos="1027" w:val="left" w:leader="none"/>
        </w:tabs>
        <w:spacing w:line="240" w:lineRule="auto" w:before="0" w:after="0"/>
        <w:ind w:left="1026" w:right="0" w:hanging="300"/>
        <w:jc w:val="left"/>
        <w:rPr>
          <w:sz w:val="20"/>
        </w:rPr>
      </w:pPr>
      <w:r>
        <w:rPr>
          <w:sz w:val="20"/>
        </w:rPr>
        <w:t>bir denetim makamına şikayette bulunma</w:t>
      </w:r>
      <w:r>
        <w:rPr>
          <w:spacing w:val="-2"/>
          <w:sz w:val="20"/>
        </w:rPr>
        <w:t> </w:t>
      </w:r>
      <w:r>
        <w:rPr>
          <w:sz w:val="20"/>
        </w:rPr>
        <w:t>hakkı;</w:t>
      </w:r>
    </w:p>
    <w:p>
      <w:pPr>
        <w:pStyle w:val="BodyText"/>
        <w:spacing w:before="3"/>
        <w:rPr>
          <w:sz w:val="26"/>
        </w:rPr>
      </w:pPr>
    </w:p>
    <w:p>
      <w:pPr>
        <w:pStyle w:val="ListParagraph"/>
        <w:numPr>
          <w:ilvl w:val="0"/>
          <w:numId w:val="24"/>
        </w:numPr>
        <w:tabs>
          <w:tab w:pos="1026" w:val="left" w:leader="none"/>
        </w:tabs>
        <w:spacing w:line="276" w:lineRule="auto" w:before="1" w:after="0"/>
        <w:ind w:left="726" w:right="911" w:firstLine="0"/>
        <w:jc w:val="left"/>
        <w:rPr>
          <w:sz w:val="20"/>
        </w:rPr>
      </w:pPr>
      <w:r>
        <w:rPr>
          <w:sz w:val="20"/>
        </w:rPr>
        <w:t>kişisel verilerin hangi kaynaktan alındığı, ve uygun olduğu hallerde, kişisel verilerin kamunun erişebileceği kaynaklardan gelip</w:t>
      </w:r>
      <w:r>
        <w:rPr>
          <w:spacing w:val="-2"/>
          <w:sz w:val="20"/>
        </w:rPr>
        <w:t> </w:t>
      </w:r>
      <w:r>
        <w:rPr>
          <w:sz w:val="20"/>
        </w:rPr>
        <w:t>gelmediği;</w:t>
      </w:r>
    </w:p>
    <w:p>
      <w:pPr>
        <w:pStyle w:val="BodyText"/>
        <w:spacing w:before="3"/>
        <w:rPr>
          <w:sz w:val="24"/>
        </w:rPr>
      </w:pPr>
    </w:p>
    <w:p>
      <w:pPr>
        <w:pStyle w:val="ListParagraph"/>
        <w:numPr>
          <w:ilvl w:val="0"/>
          <w:numId w:val="24"/>
        </w:numPr>
        <w:tabs>
          <w:tab w:pos="1082" w:val="left" w:leader="none"/>
        </w:tabs>
        <w:spacing w:line="276" w:lineRule="auto" w:before="1" w:after="0"/>
        <w:ind w:left="1022" w:right="687" w:hanging="296"/>
        <w:jc w:val="both"/>
        <w:rPr>
          <w:sz w:val="20"/>
        </w:rPr>
      </w:pPr>
      <w:r>
        <w:rPr>
          <w:sz w:val="20"/>
        </w:rPr>
        <w:t>profil çıkarma da dahil olmak üzere 22(1) ve (4) maddelerinde atıfta bulunulan otomatik karar vermenin varlığı ve, en azından bu hallerde, yürütülen mantığa ilişkin anlamlı bilgilerin yanı sıra söz konusu işleme faaliyetinin veri sahibi açısından önemi ve öngörülen</w:t>
      </w:r>
      <w:r>
        <w:rPr>
          <w:spacing w:val="-19"/>
          <w:sz w:val="20"/>
        </w:rPr>
        <w:t> </w:t>
      </w:r>
      <w:r>
        <w:rPr>
          <w:sz w:val="20"/>
        </w:rPr>
        <w:t>sonuçları.</w:t>
      </w:r>
    </w:p>
    <w:p>
      <w:pPr>
        <w:pStyle w:val="BodyText"/>
        <w:spacing w:before="9"/>
        <w:rPr>
          <w:sz w:val="23"/>
        </w:rPr>
      </w:pPr>
    </w:p>
    <w:p>
      <w:pPr>
        <w:pStyle w:val="ListParagraph"/>
        <w:numPr>
          <w:ilvl w:val="0"/>
          <w:numId w:val="22"/>
        </w:numPr>
        <w:tabs>
          <w:tab w:pos="948" w:val="left" w:leader="none"/>
        </w:tabs>
        <w:spacing w:line="240" w:lineRule="auto" w:before="1" w:after="0"/>
        <w:ind w:left="947" w:right="0" w:hanging="221"/>
        <w:jc w:val="left"/>
        <w:rPr>
          <w:sz w:val="20"/>
        </w:rPr>
      </w:pPr>
      <w:r>
        <w:rPr>
          <w:sz w:val="20"/>
        </w:rPr>
        <w:t>Kontrolör 1 ve 2. paragraflarda atıfta bulunulan bilgileri şu şekilde</w:t>
      </w:r>
      <w:r>
        <w:rPr>
          <w:spacing w:val="-10"/>
          <w:sz w:val="20"/>
        </w:rPr>
        <w:t> </w:t>
      </w:r>
      <w:r>
        <w:rPr>
          <w:sz w:val="20"/>
        </w:rPr>
        <w:t>sağlar:</w:t>
      </w:r>
    </w:p>
    <w:p>
      <w:pPr>
        <w:pStyle w:val="BodyText"/>
        <w:spacing w:before="4"/>
        <w:rPr>
          <w:sz w:val="27"/>
        </w:rPr>
      </w:pPr>
    </w:p>
    <w:p>
      <w:pPr>
        <w:pStyle w:val="ListParagraph"/>
        <w:numPr>
          <w:ilvl w:val="0"/>
          <w:numId w:val="25"/>
        </w:numPr>
        <w:tabs>
          <w:tab w:pos="1051" w:val="left" w:leader="none"/>
        </w:tabs>
        <w:spacing w:line="276" w:lineRule="auto" w:before="0" w:after="0"/>
        <w:ind w:left="1022" w:right="692" w:hanging="296"/>
        <w:jc w:val="both"/>
        <w:rPr>
          <w:sz w:val="20"/>
        </w:rPr>
      </w:pPr>
      <w:r>
        <w:rPr>
          <w:sz w:val="20"/>
        </w:rPr>
        <w:t>kişisel verilerin elde edilmesinden itibaren makul bir süre içerisinde, ancak kişisel verilerin işlendiği spesifik koşullar göz önünde tutularak, en geç bir ay</w:t>
      </w:r>
      <w:r>
        <w:rPr>
          <w:spacing w:val="-13"/>
          <w:sz w:val="20"/>
        </w:rPr>
        <w:t> </w:t>
      </w:r>
      <w:r>
        <w:rPr>
          <w:sz w:val="20"/>
        </w:rPr>
        <w:t>içerisinde;</w:t>
      </w:r>
    </w:p>
    <w:p>
      <w:pPr>
        <w:pStyle w:val="BodyText"/>
        <w:rPr>
          <w:sz w:val="22"/>
        </w:rPr>
      </w:pPr>
    </w:p>
    <w:p>
      <w:pPr>
        <w:pStyle w:val="BodyText"/>
        <w:spacing w:before="3"/>
        <w:rPr>
          <w:sz w:val="24"/>
        </w:rPr>
      </w:pPr>
    </w:p>
    <w:p>
      <w:pPr>
        <w:pStyle w:val="ListParagraph"/>
        <w:numPr>
          <w:ilvl w:val="0"/>
          <w:numId w:val="25"/>
        </w:numPr>
        <w:tabs>
          <w:tab w:pos="1046" w:val="left" w:leader="none"/>
        </w:tabs>
        <w:spacing w:line="276" w:lineRule="auto" w:before="0" w:after="0"/>
        <w:ind w:left="1022" w:right="701" w:hanging="296"/>
        <w:jc w:val="both"/>
        <w:rPr>
          <w:sz w:val="20"/>
        </w:rPr>
      </w:pPr>
      <w:r>
        <w:rPr>
          <w:sz w:val="20"/>
        </w:rPr>
        <w:t>kişisel verilerin veri sahibi ile iletişim açısından kullanılacak olması durumunda, en geç söz konusu veri sahibi ile ilk kez iletişime geçildiği zaman</w:t>
      </w:r>
      <w:r>
        <w:rPr>
          <w:spacing w:val="-9"/>
          <w:sz w:val="20"/>
        </w:rPr>
        <w:t> </w:t>
      </w:r>
      <w:r>
        <w:rPr>
          <w:sz w:val="20"/>
        </w:rPr>
        <w:t>veya</w:t>
      </w:r>
    </w:p>
    <w:p>
      <w:pPr>
        <w:pStyle w:val="BodyText"/>
        <w:spacing w:before="8"/>
        <w:rPr>
          <w:sz w:val="23"/>
        </w:rPr>
      </w:pPr>
    </w:p>
    <w:p>
      <w:pPr>
        <w:pStyle w:val="ListParagraph"/>
        <w:numPr>
          <w:ilvl w:val="0"/>
          <w:numId w:val="25"/>
        </w:numPr>
        <w:tabs>
          <w:tab w:pos="1091" w:val="left" w:leader="none"/>
        </w:tabs>
        <w:spacing w:line="278" w:lineRule="auto" w:before="0" w:after="0"/>
        <w:ind w:left="726" w:right="1857" w:firstLine="0"/>
        <w:jc w:val="left"/>
        <w:rPr>
          <w:sz w:val="20"/>
        </w:rPr>
      </w:pPr>
      <w:r>
        <w:rPr>
          <w:sz w:val="20"/>
        </w:rPr>
        <w:t>başka bir alıcıya açıklamanın öngörülmesi halinde, en geç kişisel veriler ilk kez açıklandığı zaman.</w:t>
      </w:r>
    </w:p>
    <w:p>
      <w:pPr>
        <w:spacing w:after="0" w:line="278" w:lineRule="auto"/>
        <w:jc w:val="left"/>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22"/>
        </w:numPr>
        <w:tabs>
          <w:tab w:pos="970" w:val="left" w:leader="none"/>
        </w:tabs>
        <w:spacing w:line="276" w:lineRule="auto" w:before="66" w:after="0"/>
        <w:ind w:left="726" w:right="699" w:firstLine="0"/>
        <w:jc w:val="both"/>
        <w:rPr>
          <w:sz w:val="20"/>
        </w:rPr>
      </w:pPr>
      <w:r>
        <w:rPr>
          <w:sz w:val="20"/>
        </w:rPr>
        <w:t>Kontrolörün kişisel verileri bu verilerin elde edilme amacı dışında bir amaçla işleme faaliyetine niyet ettiği hallerde, kontrolör söz konusu işleme faaliyetinden önce diğer amaca ilişkin bilgileri ve 2.  paragrafta atıfta bulunulan diğer ilgili bilgileri veri sahibine</w:t>
      </w:r>
      <w:r>
        <w:rPr>
          <w:spacing w:val="-9"/>
          <w:sz w:val="20"/>
        </w:rPr>
        <w:t> </w:t>
      </w:r>
      <w:r>
        <w:rPr>
          <w:sz w:val="20"/>
        </w:rPr>
        <w:t>sağlar.</w:t>
      </w:r>
    </w:p>
    <w:p>
      <w:pPr>
        <w:pStyle w:val="BodyText"/>
        <w:spacing w:before="1"/>
        <w:rPr>
          <w:sz w:val="23"/>
        </w:rPr>
      </w:pPr>
    </w:p>
    <w:p>
      <w:pPr>
        <w:pStyle w:val="ListParagraph"/>
        <w:numPr>
          <w:ilvl w:val="0"/>
          <w:numId w:val="22"/>
        </w:numPr>
        <w:tabs>
          <w:tab w:pos="1139" w:val="left" w:leader="none"/>
          <w:tab w:pos="1140" w:val="left" w:leader="none"/>
        </w:tabs>
        <w:spacing w:line="276" w:lineRule="auto" w:before="0" w:after="0"/>
        <w:ind w:left="726" w:right="3873" w:firstLine="0"/>
        <w:jc w:val="left"/>
        <w:rPr>
          <w:sz w:val="20"/>
        </w:rPr>
      </w:pPr>
      <w:r>
        <w:rPr>
          <w:sz w:val="20"/>
        </w:rPr>
        <w:t>1 ila 4. paragraflar aşağıdaki hallerde ve ölçüde uygulanmaz: (a) veri sahibinin halihazırda bilgisinin</w:t>
      </w:r>
      <w:r>
        <w:rPr>
          <w:spacing w:val="-1"/>
          <w:sz w:val="20"/>
        </w:rPr>
        <w:t> </w:t>
      </w:r>
      <w:r>
        <w:rPr>
          <w:sz w:val="20"/>
        </w:rPr>
        <w:t>olması;</w:t>
      </w:r>
    </w:p>
    <w:p>
      <w:pPr>
        <w:pStyle w:val="BodyText"/>
        <w:spacing w:before="8"/>
        <w:rPr>
          <w:sz w:val="23"/>
        </w:rPr>
      </w:pPr>
    </w:p>
    <w:p>
      <w:pPr>
        <w:pStyle w:val="ListParagraph"/>
        <w:numPr>
          <w:ilvl w:val="0"/>
          <w:numId w:val="26"/>
        </w:numPr>
        <w:tabs>
          <w:tab w:pos="1075" w:val="left" w:leader="none"/>
        </w:tabs>
        <w:spacing w:line="276" w:lineRule="auto" w:before="0" w:after="0"/>
        <w:ind w:left="1022" w:right="695" w:hanging="296"/>
        <w:jc w:val="both"/>
        <w:rPr>
          <w:sz w:val="20"/>
        </w:rPr>
      </w:pPr>
      <w:r>
        <w:rPr>
          <w:sz w:val="20"/>
        </w:rPr>
        <w:t>89(1) maddesinde atıfta bulunulan koşullar ve güvencelere tabi olarak kamu yararına arşivleme amaçları, bilimsel veya tarihi araştırma amaçları ya da istatistiki amaçlar başta olmak üzere söz konusu bilgilerin sağlanmasının imkansız olması veya ölçüsüz bir çaba gerektirmesi halinde veya bu maddenin 1. paragrafında atıfta bulunulan yükümlülüğün bu işleme hedeflerinin yakalanmasını imkansız hale getirmesi veya yakalanmasına ciddi şekilde zarar vermesinin muhtemel olduğu ölçüde. Bu durumlarda, kontrolör bilginin kamuya açıklanması da dahil olmak üzere veri sahibinin hakları ile özgürlükleri ve meşru menfaatlerinin korunması amacıyla uygun tedbirler</w:t>
      </w:r>
      <w:r>
        <w:rPr>
          <w:spacing w:val="-10"/>
          <w:sz w:val="20"/>
        </w:rPr>
        <w:t> </w:t>
      </w:r>
      <w:r>
        <w:rPr>
          <w:sz w:val="20"/>
        </w:rPr>
        <w:t>alır;</w:t>
      </w:r>
    </w:p>
    <w:p>
      <w:pPr>
        <w:pStyle w:val="BodyText"/>
        <w:rPr>
          <w:sz w:val="22"/>
        </w:rPr>
      </w:pPr>
    </w:p>
    <w:p>
      <w:pPr>
        <w:pStyle w:val="BodyText"/>
        <w:spacing w:before="4"/>
        <w:rPr>
          <w:sz w:val="24"/>
        </w:rPr>
      </w:pPr>
    </w:p>
    <w:p>
      <w:pPr>
        <w:pStyle w:val="ListParagraph"/>
        <w:numPr>
          <w:ilvl w:val="0"/>
          <w:numId w:val="26"/>
        </w:numPr>
        <w:tabs>
          <w:tab w:pos="1017" w:val="left" w:leader="none"/>
        </w:tabs>
        <w:spacing w:line="276" w:lineRule="auto" w:before="0" w:after="0"/>
        <w:ind w:left="1022" w:right="687" w:hanging="296"/>
        <w:jc w:val="both"/>
        <w:rPr>
          <w:sz w:val="20"/>
        </w:rPr>
      </w:pPr>
      <w:r>
        <w:rPr>
          <w:sz w:val="20"/>
        </w:rPr>
        <w:t>elde etme veya açıklamanın kontrolörün tabi olduğu ve veri sahibinin meşru menfaatlerinin korunması amacıyla uygun tedbirler sağlanan Birlik veya üye devlet hukukunda açık bir şekilde ortaya konması veya</w:t>
      </w:r>
    </w:p>
    <w:p>
      <w:pPr>
        <w:pStyle w:val="BodyText"/>
        <w:rPr>
          <w:sz w:val="22"/>
        </w:rPr>
      </w:pPr>
    </w:p>
    <w:p>
      <w:pPr>
        <w:pStyle w:val="BodyText"/>
        <w:rPr>
          <w:sz w:val="24"/>
        </w:rPr>
      </w:pPr>
    </w:p>
    <w:p>
      <w:pPr>
        <w:pStyle w:val="ListParagraph"/>
        <w:numPr>
          <w:ilvl w:val="0"/>
          <w:numId w:val="26"/>
        </w:numPr>
        <w:tabs>
          <w:tab w:pos="1041" w:val="left" w:leader="none"/>
        </w:tabs>
        <w:spacing w:line="278" w:lineRule="auto" w:before="0" w:after="0"/>
        <w:ind w:left="1022" w:right="708" w:hanging="296"/>
        <w:jc w:val="both"/>
        <w:rPr>
          <w:sz w:val="20"/>
        </w:rPr>
      </w:pPr>
      <w:r>
        <w:rPr>
          <w:sz w:val="20"/>
        </w:rPr>
        <w:t>kişisel verilerin yasal bir gizlilik yükümlülüğü de dahil olmak üzere Birlik ya da üye devlet hukuku ile düzenlenen bir mesleki gizlilik yükümlülüğüne tabi olarak gizli kalmasının</w:t>
      </w:r>
      <w:r>
        <w:rPr>
          <w:spacing w:val="-14"/>
          <w:sz w:val="20"/>
        </w:rPr>
        <w:t> </w:t>
      </w:r>
      <w:r>
        <w:rPr>
          <w:sz w:val="20"/>
        </w:rPr>
        <w:t>gerekmesi.</w:t>
      </w:r>
    </w:p>
    <w:p>
      <w:pPr>
        <w:pStyle w:val="BodyText"/>
        <w:spacing w:before="7"/>
        <w:rPr>
          <w:sz w:val="25"/>
        </w:rPr>
      </w:pPr>
    </w:p>
    <w:p>
      <w:pPr>
        <w:pStyle w:val="BodyText"/>
        <w:spacing w:line="276" w:lineRule="auto"/>
        <w:ind w:left="5035" w:right="5053"/>
        <w:jc w:val="center"/>
      </w:pPr>
      <w:r>
        <w:rPr/>
        <w:t>Madde 15</w:t>
      </w:r>
    </w:p>
    <w:p>
      <w:pPr>
        <w:pStyle w:val="BodyText"/>
        <w:spacing w:before="10"/>
        <w:rPr>
          <w:sz w:val="22"/>
        </w:rPr>
      </w:pPr>
    </w:p>
    <w:p>
      <w:pPr>
        <w:pStyle w:val="Heading1"/>
        <w:ind w:left="2206"/>
      </w:pPr>
      <w:r>
        <w:rPr/>
        <w:t>Veri sahibinin erişim hakkı</w:t>
      </w:r>
    </w:p>
    <w:p>
      <w:pPr>
        <w:pStyle w:val="BodyText"/>
        <w:rPr>
          <w:b/>
          <w:sz w:val="22"/>
        </w:rPr>
      </w:pPr>
    </w:p>
    <w:p>
      <w:pPr>
        <w:pStyle w:val="BodyText"/>
        <w:spacing w:before="1"/>
        <w:rPr>
          <w:b/>
          <w:sz w:val="27"/>
        </w:rPr>
      </w:pPr>
    </w:p>
    <w:p>
      <w:pPr>
        <w:pStyle w:val="ListParagraph"/>
        <w:numPr>
          <w:ilvl w:val="0"/>
          <w:numId w:val="27"/>
        </w:numPr>
        <w:tabs>
          <w:tab w:pos="970" w:val="left" w:leader="none"/>
        </w:tabs>
        <w:spacing w:line="278" w:lineRule="auto" w:before="0" w:after="0"/>
        <w:ind w:left="726" w:right="697" w:firstLine="0"/>
        <w:jc w:val="left"/>
        <w:rPr>
          <w:sz w:val="20"/>
        </w:rPr>
      </w:pPr>
      <w:r>
        <w:rPr>
          <w:sz w:val="20"/>
        </w:rPr>
        <w:t>Veri sahibinin kendisi ile ilgili kişisel verilerin işlenip işlenmediğini kontrolörden teyit etme ve, işleme faaliyeti olması halinde, kişisel verilere erişim ile aşağıdaki bilgileri talep etme hakkı</w:t>
      </w:r>
      <w:r>
        <w:rPr>
          <w:spacing w:val="-27"/>
          <w:sz w:val="20"/>
        </w:rPr>
        <w:t> </w:t>
      </w:r>
      <w:r>
        <w:rPr>
          <w:sz w:val="20"/>
        </w:rPr>
        <w:t>bulunur:</w:t>
      </w:r>
    </w:p>
    <w:p>
      <w:pPr>
        <w:pStyle w:val="ListParagraph"/>
        <w:numPr>
          <w:ilvl w:val="0"/>
          <w:numId w:val="28"/>
        </w:numPr>
        <w:tabs>
          <w:tab w:pos="1027" w:val="left" w:leader="none"/>
        </w:tabs>
        <w:spacing w:line="240" w:lineRule="auto" w:before="84" w:after="0"/>
        <w:ind w:left="1024" w:right="0" w:hanging="298"/>
        <w:jc w:val="left"/>
        <w:rPr>
          <w:sz w:val="20"/>
        </w:rPr>
      </w:pPr>
      <w:r>
        <w:rPr>
          <w:sz w:val="20"/>
        </w:rPr>
        <w:t>işleme</w:t>
      </w:r>
      <w:r>
        <w:rPr>
          <w:spacing w:val="-2"/>
          <w:sz w:val="20"/>
        </w:rPr>
        <w:t> </w:t>
      </w:r>
      <w:r>
        <w:rPr>
          <w:sz w:val="20"/>
        </w:rPr>
        <w:t>amaçları;</w:t>
      </w:r>
    </w:p>
    <w:p>
      <w:pPr>
        <w:pStyle w:val="ListParagraph"/>
        <w:numPr>
          <w:ilvl w:val="0"/>
          <w:numId w:val="28"/>
        </w:numPr>
        <w:tabs>
          <w:tab w:pos="1027" w:val="left" w:leader="none"/>
        </w:tabs>
        <w:spacing w:line="240" w:lineRule="auto" w:before="84" w:after="0"/>
        <w:ind w:left="1024" w:right="0" w:hanging="298"/>
        <w:jc w:val="left"/>
        <w:rPr>
          <w:sz w:val="20"/>
        </w:rPr>
      </w:pPr>
      <w:r>
        <w:rPr>
          <w:sz w:val="20"/>
        </w:rPr>
        <w:t>ilgili kişisel veri</w:t>
      </w:r>
      <w:r>
        <w:rPr>
          <w:spacing w:val="-2"/>
          <w:sz w:val="20"/>
        </w:rPr>
        <w:t> </w:t>
      </w:r>
      <w:r>
        <w:rPr>
          <w:sz w:val="20"/>
        </w:rPr>
        <w:t>kategorileri;</w:t>
      </w:r>
    </w:p>
    <w:p>
      <w:pPr>
        <w:pStyle w:val="BodyText"/>
        <w:spacing w:before="6"/>
        <w:rPr>
          <w:sz w:val="26"/>
        </w:rPr>
      </w:pPr>
    </w:p>
    <w:p>
      <w:pPr>
        <w:pStyle w:val="ListParagraph"/>
        <w:numPr>
          <w:ilvl w:val="0"/>
          <w:numId w:val="28"/>
        </w:numPr>
        <w:tabs>
          <w:tab w:pos="1024" w:val="left" w:leader="none"/>
        </w:tabs>
        <w:spacing w:line="276" w:lineRule="auto" w:before="0" w:after="0"/>
        <w:ind w:left="1024" w:right="702" w:hanging="298"/>
        <w:jc w:val="both"/>
        <w:rPr>
          <w:sz w:val="20"/>
        </w:rPr>
      </w:pPr>
      <w:r>
        <w:rPr>
          <w:sz w:val="20"/>
        </w:rPr>
        <w:t>üçüncü ülkeler veya uluslararası kuruluşlardaki alıcılar başta olmak üzere, kişisel verilerin açıklandığı veya açıklanacağı alıcılar veya alıcı</w:t>
      </w:r>
      <w:r>
        <w:rPr>
          <w:spacing w:val="1"/>
          <w:sz w:val="20"/>
        </w:rPr>
        <w:t> </w:t>
      </w:r>
      <w:r>
        <w:rPr>
          <w:sz w:val="20"/>
        </w:rPr>
        <w:t>kategorileri;</w:t>
      </w:r>
    </w:p>
    <w:p>
      <w:pPr>
        <w:pStyle w:val="BodyText"/>
        <w:spacing w:before="2"/>
        <w:rPr>
          <w:sz w:val="23"/>
        </w:rPr>
      </w:pPr>
    </w:p>
    <w:p>
      <w:pPr>
        <w:pStyle w:val="ListParagraph"/>
        <w:numPr>
          <w:ilvl w:val="0"/>
          <w:numId w:val="28"/>
        </w:numPr>
        <w:tabs>
          <w:tab w:pos="1034" w:val="left" w:leader="none"/>
        </w:tabs>
        <w:spacing w:line="276" w:lineRule="auto" w:before="0" w:after="0"/>
        <w:ind w:left="1024" w:right="700" w:hanging="298"/>
        <w:jc w:val="both"/>
        <w:rPr>
          <w:sz w:val="20"/>
        </w:rPr>
      </w:pPr>
      <w:r>
        <w:rPr>
          <w:sz w:val="20"/>
        </w:rPr>
        <w:t>mümkün olması halinde, kişisel verilerin saklanması açısından öngörülen süre veya, bunun mümkün olmaması halinde, bu sürenin belirlenmesi amacı ile kullanılan</w:t>
      </w:r>
      <w:r>
        <w:rPr>
          <w:spacing w:val="-11"/>
          <w:sz w:val="20"/>
        </w:rPr>
        <w:t> </w:t>
      </w:r>
      <w:r>
        <w:rPr>
          <w:sz w:val="20"/>
        </w:rPr>
        <w:t>kriterler;</w:t>
      </w:r>
    </w:p>
    <w:p>
      <w:pPr>
        <w:pStyle w:val="BodyText"/>
        <w:spacing w:before="8"/>
        <w:rPr>
          <w:sz w:val="23"/>
        </w:rPr>
      </w:pPr>
    </w:p>
    <w:p>
      <w:pPr>
        <w:pStyle w:val="ListParagraph"/>
        <w:numPr>
          <w:ilvl w:val="0"/>
          <w:numId w:val="28"/>
        </w:numPr>
        <w:tabs>
          <w:tab w:pos="1084" w:val="left" w:leader="none"/>
        </w:tabs>
        <w:spacing w:line="276" w:lineRule="auto" w:before="0" w:after="0"/>
        <w:ind w:left="1024" w:right="694" w:hanging="298"/>
        <w:jc w:val="both"/>
        <w:rPr>
          <w:sz w:val="20"/>
        </w:rPr>
      </w:pPr>
      <w:r>
        <w:rPr>
          <w:sz w:val="20"/>
        </w:rPr>
        <w:t>kontrolörden veri sahibine ilişkin kişisel verilerin düzeltilmesi veya silinmesini veya söz konusu verilerin işlenmesinin kısıtlanmasını talep etme veya söz konusu işleme faaliyetine itiraz etme hakkının</w:t>
      </w:r>
      <w:r>
        <w:rPr>
          <w:spacing w:val="-2"/>
          <w:sz w:val="20"/>
        </w:rPr>
        <w:t> </w:t>
      </w:r>
      <w:r>
        <w:rPr>
          <w:sz w:val="20"/>
        </w:rPr>
        <w:t>varlığı;</w:t>
      </w:r>
    </w:p>
    <w:p>
      <w:pPr>
        <w:pStyle w:val="ListParagraph"/>
        <w:numPr>
          <w:ilvl w:val="0"/>
          <w:numId w:val="28"/>
        </w:numPr>
        <w:tabs>
          <w:tab w:pos="974" w:val="left" w:leader="none"/>
        </w:tabs>
        <w:spacing w:line="240" w:lineRule="auto" w:before="87" w:after="0"/>
        <w:ind w:left="973" w:right="0" w:hanging="247"/>
        <w:jc w:val="left"/>
        <w:rPr>
          <w:sz w:val="20"/>
        </w:rPr>
      </w:pPr>
      <w:r>
        <w:rPr>
          <w:sz w:val="20"/>
        </w:rPr>
        <w:t>bir denetim makamına şikayette bulunma</w:t>
      </w:r>
      <w:r>
        <w:rPr>
          <w:spacing w:val="-3"/>
          <w:sz w:val="20"/>
        </w:rPr>
        <w:t> </w:t>
      </w:r>
      <w:r>
        <w:rPr>
          <w:sz w:val="20"/>
        </w:rPr>
        <w:t>hakkı;</w:t>
      </w:r>
    </w:p>
    <w:p>
      <w:pPr>
        <w:pStyle w:val="ListParagraph"/>
        <w:numPr>
          <w:ilvl w:val="0"/>
          <w:numId w:val="28"/>
        </w:numPr>
        <w:tabs>
          <w:tab w:pos="1077" w:val="left" w:leader="none"/>
        </w:tabs>
        <w:spacing w:line="278" w:lineRule="auto" w:before="87" w:after="0"/>
        <w:ind w:left="726" w:right="1386" w:firstLine="0"/>
        <w:jc w:val="left"/>
        <w:rPr>
          <w:sz w:val="20"/>
        </w:rPr>
      </w:pPr>
      <w:r>
        <w:rPr>
          <w:sz w:val="20"/>
        </w:rPr>
        <w:t>kişisel verilerin veri sahibinden elde edilmemesi halinde, bu verilerin kaynaklarına ilişkin mevcut</w:t>
      </w:r>
      <w:r>
        <w:rPr>
          <w:spacing w:val="-2"/>
          <w:sz w:val="20"/>
        </w:rPr>
        <w:t> </w:t>
      </w:r>
      <w:r>
        <w:rPr>
          <w:sz w:val="20"/>
        </w:rPr>
        <w:t>bilgiler;</w:t>
      </w:r>
    </w:p>
    <w:p>
      <w:pPr>
        <w:pStyle w:val="BodyText"/>
        <w:spacing w:before="8"/>
        <w:rPr>
          <w:sz w:val="22"/>
        </w:rPr>
      </w:pPr>
    </w:p>
    <w:p>
      <w:pPr>
        <w:pStyle w:val="ListParagraph"/>
        <w:numPr>
          <w:ilvl w:val="0"/>
          <w:numId w:val="28"/>
        </w:numPr>
        <w:tabs>
          <w:tab w:pos="1082" w:val="left" w:leader="none"/>
        </w:tabs>
        <w:spacing w:line="276" w:lineRule="auto" w:before="0" w:after="0"/>
        <w:ind w:left="1024" w:right="687" w:hanging="298"/>
        <w:jc w:val="both"/>
        <w:rPr>
          <w:sz w:val="20"/>
        </w:rPr>
      </w:pPr>
      <w:r>
        <w:rPr>
          <w:sz w:val="20"/>
        </w:rPr>
        <w:t>profil çıkarma da dahil olmak üzere 22(1) ve (4) maddelerinde atıfta bulunulan otomatik karar vermenin varlığı ve, en azından bu hallerde, yürütülen mantığa ilişkin anlamlı bilgilerin yanı sıra söz konusu işleme faaliyetinin veri sahibi açısından önemi ve öngörülen</w:t>
      </w:r>
      <w:r>
        <w:rPr>
          <w:spacing w:val="-19"/>
          <w:sz w:val="20"/>
        </w:rPr>
        <w:t> </w:t>
      </w:r>
      <w:r>
        <w:rPr>
          <w:sz w:val="20"/>
        </w:rPr>
        <w:t>sonuçları.</w:t>
      </w:r>
    </w:p>
    <w:p>
      <w:pPr>
        <w:pStyle w:val="BodyText"/>
        <w:spacing w:before="10"/>
        <w:rPr>
          <w:sz w:val="23"/>
        </w:rPr>
      </w:pPr>
    </w:p>
    <w:p>
      <w:pPr>
        <w:pStyle w:val="ListParagraph"/>
        <w:numPr>
          <w:ilvl w:val="0"/>
          <w:numId w:val="27"/>
        </w:numPr>
        <w:tabs>
          <w:tab w:pos="965" w:val="left" w:leader="none"/>
        </w:tabs>
        <w:spacing w:line="276" w:lineRule="auto" w:before="0" w:after="0"/>
        <w:ind w:left="726" w:right="699" w:firstLine="0"/>
        <w:jc w:val="left"/>
        <w:rPr>
          <w:sz w:val="20"/>
        </w:rPr>
      </w:pPr>
      <w:r>
        <w:rPr>
          <w:sz w:val="20"/>
        </w:rPr>
        <w:t>Kişisel verilerin üçüncü bir ülke ya da uluslararası bir kuruluşa aktarılması durumunda, veri sahibinin aktarımla ilgili olarak 46. madde uyarınca uygun güvenceler hususunda bilgilendirilme hakkı</w:t>
      </w:r>
      <w:r>
        <w:rPr>
          <w:spacing w:val="-40"/>
          <w:sz w:val="20"/>
        </w:rPr>
        <w:t> </w:t>
      </w:r>
      <w:r>
        <w:rPr>
          <w:sz w:val="20"/>
        </w:rPr>
        <w:t>bulunur.</w:t>
      </w:r>
    </w:p>
    <w:p>
      <w:pPr>
        <w:spacing w:after="0" w:line="276" w:lineRule="auto"/>
        <w:jc w:val="left"/>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27"/>
        </w:numPr>
        <w:tabs>
          <w:tab w:pos="963" w:val="left" w:leader="none"/>
        </w:tabs>
        <w:spacing w:line="276" w:lineRule="auto" w:before="66" w:after="0"/>
        <w:ind w:left="726" w:right="693" w:firstLine="0"/>
        <w:jc w:val="both"/>
        <w:rPr>
          <w:sz w:val="20"/>
        </w:rPr>
      </w:pPr>
      <w:r>
        <w:rPr>
          <w:sz w:val="20"/>
        </w:rPr>
        <w:t>Kontrolör işleme faaliyetinden geçen kişisel verilerin bir nüshasını sağlar. Veri sahibi tarafından talep edilen diğer nüshalar açısında, kontrolör idari masraflara dayalı olarak makul bir ücret talep edebilir. Veri sahibinin talebi elektronik yollarla yapması halinde ve veri sahibi tarafından aksi talep edilmedikçe, bilgiler yaygın kullanılan bir elektronik yolla</w:t>
      </w:r>
      <w:r>
        <w:rPr>
          <w:spacing w:val="5"/>
          <w:sz w:val="20"/>
        </w:rPr>
        <w:t> </w:t>
      </w:r>
      <w:r>
        <w:rPr>
          <w:sz w:val="20"/>
        </w:rPr>
        <w:t>sağlanır.</w:t>
      </w:r>
    </w:p>
    <w:p>
      <w:pPr>
        <w:pStyle w:val="BodyText"/>
        <w:spacing w:before="3"/>
        <w:rPr>
          <w:sz w:val="23"/>
        </w:rPr>
      </w:pPr>
    </w:p>
    <w:p>
      <w:pPr>
        <w:pStyle w:val="ListParagraph"/>
        <w:numPr>
          <w:ilvl w:val="0"/>
          <w:numId w:val="27"/>
        </w:numPr>
        <w:tabs>
          <w:tab w:pos="999" w:val="left" w:leader="none"/>
        </w:tabs>
        <w:spacing w:line="278" w:lineRule="auto" w:before="0" w:after="0"/>
        <w:ind w:left="726" w:right="890" w:firstLine="0"/>
        <w:jc w:val="left"/>
        <w:rPr>
          <w:sz w:val="20"/>
        </w:rPr>
      </w:pPr>
      <w:r>
        <w:rPr>
          <w:sz w:val="20"/>
        </w:rPr>
        <w:t>3. paragrafta atıfta bulunulan bir nüsha elde etme hakkı başkalarının hakları ve özgürlüklerini olumsuz yönde</w:t>
      </w:r>
      <w:r>
        <w:rPr>
          <w:spacing w:val="-2"/>
          <w:sz w:val="20"/>
        </w:rPr>
        <w:t> </w:t>
      </w:r>
      <w:r>
        <w:rPr>
          <w:sz w:val="20"/>
        </w:rPr>
        <w:t>etkilemez.</w:t>
      </w:r>
    </w:p>
    <w:p>
      <w:pPr>
        <w:pStyle w:val="BodyText"/>
        <w:spacing w:before="10"/>
        <w:rPr>
          <w:sz w:val="22"/>
        </w:rPr>
      </w:pPr>
    </w:p>
    <w:p>
      <w:pPr>
        <w:pStyle w:val="BodyText"/>
        <w:ind w:left="2207" w:right="2222"/>
        <w:jc w:val="center"/>
      </w:pPr>
      <w:r>
        <w:rPr/>
        <w:t>Kesim 3</w:t>
      </w:r>
    </w:p>
    <w:p>
      <w:pPr>
        <w:pStyle w:val="BodyText"/>
        <w:spacing w:before="6"/>
        <w:rPr>
          <w:sz w:val="26"/>
        </w:rPr>
      </w:pPr>
    </w:p>
    <w:p>
      <w:pPr>
        <w:pStyle w:val="Heading1"/>
        <w:spacing w:before="1"/>
        <w:ind w:right="2208"/>
      </w:pPr>
      <w:r>
        <w:rPr/>
        <w:t>Düzeltme ve silme</w:t>
      </w:r>
    </w:p>
    <w:p>
      <w:pPr>
        <w:pStyle w:val="BodyText"/>
        <w:rPr>
          <w:b/>
          <w:sz w:val="22"/>
        </w:rPr>
      </w:pPr>
    </w:p>
    <w:p>
      <w:pPr>
        <w:pStyle w:val="BodyText"/>
        <w:spacing w:before="11"/>
        <w:rPr>
          <w:b/>
          <w:sz w:val="27"/>
        </w:rPr>
      </w:pPr>
    </w:p>
    <w:p>
      <w:pPr>
        <w:pStyle w:val="BodyText"/>
        <w:spacing w:line="276" w:lineRule="auto"/>
        <w:ind w:left="5035" w:right="5053"/>
        <w:jc w:val="center"/>
      </w:pPr>
      <w:r>
        <w:rPr/>
        <w:t>Madde 16</w:t>
      </w:r>
    </w:p>
    <w:p>
      <w:pPr>
        <w:pStyle w:val="BodyText"/>
        <w:rPr>
          <w:sz w:val="22"/>
        </w:rPr>
      </w:pPr>
    </w:p>
    <w:p>
      <w:pPr>
        <w:pStyle w:val="BodyText"/>
        <w:spacing w:before="2"/>
        <w:rPr>
          <w:sz w:val="24"/>
        </w:rPr>
      </w:pPr>
    </w:p>
    <w:p>
      <w:pPr>
        <w:pStyle w:val="Heading1"/>
        <w:spacing w:before="1"/>
        <w:ind w:left="2204"/>
      </w:pPr>
      <w:r>
        <w:rPr/>
        <w:t>Düzeltme hakkı</w:t>
      </w:r>
    </w:p>
    <w:p>
      <w:pPr>
        <w:pStyle w:val="BodyText"/>
        <w:rPr>
          <w:b/>
          <w:sz w:val="22"/>
        </w:rPr>
      </w:pPr>
    </w:p>
    <w:p>
      <w:pPr>
        <w:pStyle w:val="BodyText"/>
        <w:spacing w:before="3"/>
        <w:rPr>
          <w:b/>
          <w:sz w:val="27"/>
        </w:rPr>
      </w:pPr>
    </w:p>
    <w:p>
      <w:pPr>
        <w:pStyle w:val="BodyText"/>
        <w:spacing w:line="276" w:lineRule="auto"/>
        <w:ind w:left="726" w:right="697"/>
        <w:jc w:val="both"/>
      </w:pPr>
      <w:r>
        <w:rPr/>
        <w:t>Veri sahibinin kendileri ile ilgili doğru olmayan kişisel verilerin gereksiz gecikmeye mahal verilmeksizin düzeltilmesini kontrolörden talep etme hakkı bulunur. İşleme amaçları dikkate alınarak, veri sahibinin, bir ek beyan yoluyla da dahil olmak üzere, eksik kişisel verileri tamamlatma hakkı bulunur.</w:t>
      </w:r>
    </w:p>
    <w:p>
      <w:pPr>
        <w:pStyle w:val="BodyText"/>
        <w:spacing w:before="4"/>
        <w:rPr>
          <w:sz w:val="24"/>
        </w:rPr>
      </w:pPr>
    </w:p>
    <w:p>
      <w:pPr>
        <w:pStyle w:val="BodyText"/>
        <w:spacing w:line="276" w:lineRule="auto"/>
        <w:ind w:left="5035" w:right="5053"/>
        <w:jc w:val="center"/>
      </w:pPr>
      <w:r>
        <w:rPr/>
        <w:t>Madde 17</w:t>
      </w:r>
    </w:p>
    <w:p>
      <w:pPr>
        <w:pStyle w:val="BodyText"/>
        <w:spacing w:before="10"/>
        <w:rPr>
          <w:sz w:val="22"/>
        </w:rPr>
      </w:pPr>
    </w:p>
    <w:p>
      <w:pPr>
        <w:pStyle w:val="Heading1"/>
        <w:ind w:left="2202"/>
      </w:pPr>
      <w:r>
        <w:rPr/>
        <w:t>Silme hakkı (’unutulma hakkı’)</w:t>
      </w:r>
    </w:p>
    <w:p>
      <w:pPr>
        <w:pStyle w:val="BodyText"/>
        <w:rPr>
          <w:b/>
          <w:sz w:val="22"/>
        </w:rPr>
      </w:pPr>
    </w:p>
    <w:p>
      <w:pPr>
        <w:pStyle w:val="BodyText"/>
        <w:spacing w:before="1"/>
        <w:rPr>
          <w:b/>
          <w:sz w:val="27"/>
        </w:rPr>
      </w:pPr>
    </w:p>
    <w:p>
      <w:pPr>
        <w:pStyle w:val="ListParagraph"/>
        <w:numPr>
          <w:ilvl w:val="0"/>
          <w:numId w:val="29"/>
        </w:numPr>
        <w:tabs>
          <w:tab w:pos="970" w:val="left" w:leader="none"/>
        </w:tabs>
        <w:spacing w:line="276" w:lineRule="auto" w:before="0" w:after="0"/>
        <w:ind w:left="726" w:right="694" w:firstLine="0"/>
        <w:jc w:val="both"/>
        <w:rPr>
          <w:sz w:val="20"/>
        </w:rPr>
      </w:pPr>
      <w:r>
        <w:rPr>
          <w:sz w:val="20"/>
        </w:rPr>
        <w:t>Veri sahibinin kendisi ile ilgili kişisel verilerin herhangi bir gecikmeye mahal verilmeksizin silinmesini kontrolörden talep etme hakkı bulunur ve, aşağıdaki hallerden birinin geçerli olması durumunda, kontrolörün kişisel verileri herhangi bir gecikmeye mahal vermeksizin silme yükümlülüğü</w:t>
      </w:r>
      <w:r>
        <w:rPr>
          <w:spacing w:val="-32"/>
          <w:sz w:val="20"/>
        </w:rPr>
        <w:t> </w:t>
      </w:r>
      <w:r>
        <w:rPr>
          <w:sz w:val="20"/>
        </w:rPr>
        <w:t>bulunur:</w:t>
      </w:r>
    </w:p>
    <w:p>
      <w:pPr>
        <w:pStyle w:val="BodyText"/>
        <w:spacing w:before="10"/>
        <w:rPr>
          <w:sz w:val="23"/>
        </w:rPr>
      </w:pPr>
    </w:p>
    <w:p>
      <w:pPr>
        <w:pStyle w:val="ListParagraph"/>
        <w:numPr>
          <w:ilvl w:val="0"/>
          <w:numId w:val="30"/>
        </w:numPr>
        <w:tabs>
          <w:tab w:pos="1027" w:val="left" w:leader="none"/>
        </w:tabs>
        <w:spacing w:line="240" w:lineRule="auto" w:before="0" w:after="0"/>
        <w:ind w:left="1022" w:right="0" w:hanging="296"/>
        <w:jc w:val="left"/>
        <w:rPr>
          <w:sz w:val="20"/>
        </w:rPr>
      </w:pPr>
      <w:r>
        <w:rPr>
          <w:sz w:val="20"/>
        </w:rPr>
        <w:t>kişisel verilerin toplanma veya işlenme amaçlarıyla ilişkili olarak artık gerekli</w:t>
      </w:r>
      <w:r>
        <w:rPr>
          <w:spacing w:val="-14"/>
          <w:sz w:val="20"/>
        </w:rPr>
        <w:t> </w:t>
      </w:r>
      <w:r>
        <w:rPr>
          <w:sz w:val="20"/>
        </w:rPr>
        <w:t>olmaması;</w:t>
      </w:r>
    </w:p>
    <w:p>
      <w:pPr>
        <w:pStyle w:val="BodyText"/>
        <w:spacing w:before="4"/>
        <w:rPr>
          <w:sz w:val="30"/>
        </w:rPr>
      </w:pPr>
    </w:p>
    <w:p>
      <w:pPr>
        <w:pStyle w:val="ListParagraph"/>
        <w:numPr>
          <w:ilvl w:val="0"/>
          <w:numId w:val="30"/>
        </w:numPr>
        <w:tabs>
          <w:tab w:pos="1053" w:val="left" w:leader="none"/>
        </w:tabs>
        <w:spacing w:line="276" w:lineRule="auto" w:before="0" w:after="0"/>
        <w:ind w:left="1022" w:right="703" w:hanging="296"/>
        <w:jc w:val="left"/>
        <w:rPr>
          <w:sz w:val="20"/>
        </w:rPr>
      </w:pPr>
      <w:r>
        <w:rPr>
          <w:sz w:val="20"/>
        </w:rPr>
        <w:t>veri sahibinin 6(1) maddesinin (a) bendi veya 9(2) maddesinin (a) bendine göre işleme faaliyetinin dayandığı izni geri çekmesi ve işleme faaliyetiyle ilgili başka bir yasal gerekçe</w:t>
      </w:r>
      <w:r>
        <w:rPr>
          <w:spacing w:val="-25"/>
          <w:sz w:val="20"/>
        </w:rPr>
        <w:t> </w:t>
      </w:r>
      <w:r>
        <w:rPr>
          <w:sz w:val="20"/>
        </w:rPr>
        <w:t>bulunmaması;</w:t>
      </w:r>
    </w:p>
    <w:p>
      <w:pPr>
        <w:pStyle w:val="BodyText"/>
        <w:spacing w:before="10"/>
        <w:rPr>
          <w:sz w:val="23"/>
        </w:rPr>
      </w:pPr>
    </w:p>
    <w:p>
      <w:pPr>
        <w:pStyle w:val="ListParagraph"/>
        <w:numPr>
          <w:ilvl w:val="0"/>
          <w:numId w:val="30"/>
        </w:numPr>
        <w:tabs>
          <w:tab w:pos="1062" w:val="left" w:leader="none"/>
        </w:tabs>
        <w:spacing w:line="276" w:lineRule="auto" w:before="1" w:after="0"/>
        <w:ind w:left="1022" w:right="700" w:hanging="296"/>
        <w:jc w:val="both"/>
        <w:rPr>
          <w:sz w:val="20"/>
        </w:rPr>
      </w:pPr>
      <w:r>
        <w:rPr>
          <w:sz w:val="20"/>
        </w:rPr>
        <w:t>veri sahibinin 21(1) maddesi uyarınca işleme faaliyetine itirazda bulunması ve işleme faaliyetine yönelik ağır basan meşru bir gerekçe bulunmaması ya da veri sahibinin 21(2) maddesi uyarınca işleme faaliyetine itirazda</w:t>
      </w:r>
      <w:r>
        <w:rPr>
          <w:spacing w:val="-2"/>
          <w:sz w:val="20"/>
        </w:rPr>
        <w:t> </w:t>
      </w:r>
      <w:r>
        <w:rPr>
          <w:sz w:val="20"/>
        </w:rPr>
        <w:t>bulunması;</w:t>
      </w:r>
    </w:p>
    <w:p>
      <w:pPr>
        <w:pStyle w:val="BodyText"/>
        <w:spacing w:before="7"/>
        <w:rPr>
          <w:sz w:val="23"/>
        </w:rPr>
      </w:pPr>
    </w:p>
    <w:p>
      <w:pPr>
        <w:pStyle w:val="ListParagraph"/>
        <w:numPr>
          <w:ilvl w:val="0"/>
          <w:numId w:val="30"/>
        </w:numPr>
        <w:tabs>
          <w:tab w:pos="1027" w:val="left" w:leader="none"/>
        </w:tabs>
        <w:spacing w:line="240" w:lineRule="auto" w:before="0" w:after="0"/>
        <w:ind w:left="1022" w:right="0" w:hanging="296"/>
        <w:jc w:val="left"/>
        <w:rPr>
          <w:sz w:val="20"/>
        </w:rPr>
      </w:pPr>
      <w:r>
        <w:rPr>
          <w:sz w:val="20"/>
        </w:rPr>
        <w:t>kişisel verilerin yasa dışı biçimde işlenmiş</w:t>
      </w:r>
      <w:r>
        <w:rPr>
          <w:spacing w:val="-3"/>
          <w:sz w:val="20"/>
        </w:rPr>
        <w:t> </w:t>
      </w:r>
      <w:r>
        <w:rPr>
          <w:sz w:val="20"/>
        </w:rPr>
        <w:t>olması;</w:t>
      </w:r>
    </w:p>
    <w:p>
      <w:pPr>
        <w:pStyle w:val="BodyText"/>
        <w:spacing w:before="2"/>
        <w:rPr>
          <w:sz w:val="26"/>
        </w:rPr>
      </w:pPr>
    </w:p>
    <w:p>
      <w:pPr>
        <w:pStyle w:val="ListParagraph"/>
        <w:numPr>
          <w:ilvl w:val="0"/>
          <w:numId w:val="30"/>
        </w:numPr>
        <w:tabs>
          <w:tab w:pos="1108" w:val="left" w:leader="none"/>
        </w:tabs>
        <w:spacing w:line="276" w:lineRule="auto" w:before="0" w:after="0"/>
        <w:ind w:left="1022" w:right="700" w:hanging="296"/>
        <w:jc w:val="left"/>
        <w:rPr>
          <w:sz w:val="20"/>
        </w:rPr>
      </w:pPr>
      <w:r>
        <w:rPr>
          <w:sz w:val="20"/>
        </w:rPr>
        <w:t>kontrolörün tabi olduğu Birlik veya üye devlet hukukundaki bir yasal yükümlülüğe uygunluk sağlanması amacı ile kişisel verilerin silinmesinin zorunlu</w:t>
      </w:r>
      <w:r>
        <w:rPr>
          <w:spacing w:val="-9"/>
          <w:sz w:val="20"/>
        </w:rPr>
        <w:t> </w:t>
      </w:r>
      <w:r>
        <w:rPr>
          <w:sz w:val="20"/>
        </w:rPr>
        <w:t>olması;</w:t>
      </w:r>
    </w:p>
    <w:p>
      <w:pPr>
        <w:pStyle w:val="BodyText"/>
        <w:spacing w:before="8"/>
        <w:rPr>
          <w:sz w:val="23"/>
        </w:rPr>
      </w:pPr>
    </w:p>
    <w:p>
      <w:pPr>
        <w:pStyle w:val="ListParagraph"/>
        <w:numPr>
          <w:ilvl w:val="0"/>
          <w:numId w:val="30"/>
        </w:numPr>
        <w:tabs>
          <w:tab w:pos="1027" w:val="left" w:leader="none"/>
        </w:tabs>
        <w:spacing w:line="276" w:lineRule="auto" w:before="0" w:after="0"/>
        <w:ind w:left="726" w:right="698" w:firstLine="0"/>
        <w:jc w:val="both"/>
        <w:rPr>
          <w:sz w:val="20"/>
        </w:rPr>
      </w:pPr>
      <w:r>
        <w:rPr>
          <w:sz w:val="20"/>
        </w:rPr>
        <w:t>kişisel verilerin 8(1) maddesinde atıfta bulunulan bilgi toplumu hizmetlerinin sağlanması ile ilgili toplanmış</w:t>
      </w:r>
      <w:r>
        <w:rPr>
          <w:spacing w:val="-1"/>
          <w:sz w:val="20"/>
        </w:rPr>
        <w:t> </w:t>
      </w:r>
      <w:r>
        <w:rPr>
          <w:sz w:val="20"/>
        </w:rPr>
        <w:t>olması.</w:t>
      </w:r>
    </w:p>
    <w:p>
      <w:pPr>
        <w:pStyle w:val="BodyText"/>
        <w:spacing w:before="4"/>
        <w:rPr>
          <w:sz w:val="24"/>
        </w:rPr>
      </w:pPr>
    </w:p>
    <w:p>
      <w:pPr>
        <w:pStyle w:val="ListParagraph"/>
        <w:numPr>
          <w:ilvl w:val="0"/>
          <w:numId w:val="29"/>
        </w:numPr>
        <w:tabs>
          <w:tab w:pos="987" w:val="left" w:leader="none"/>
        </w:tabs>
        <w:spacing w:line="276" w:lineRule="auto" w:before="0" w:after="0"/>
        <w:ind w:left="726" w:right="686" w:firstLine="0"/>
        <w:jc w:val="both"/>
        <w:rPr>
          <w:sz w:val="20"/>
        </w:rPr>
      </w:pPr>
      <w:r>
        <w:rPr>
          <w:sz w:val="20"/>
        </w:rPr>
        <w:t>Kontrolörün kişisel verileri kamuya açıklamış olduğu ve 1. paragraf uyarınca kişisel verileri silmek zorunda olduğu hallerde, kontrolör, mevcut teknoloji ve uygulama maliyetini göz önünde bulundurarak, veri sahibinin talep etmiş olduğu kişisel verileri işleyen kontrolörleri söz konusu kişisel verilere yönelik her türlü bağlantı veya bu verilerin her türlü nüshası ya da çoğaltmasının söz konusu kontrolörlerce silinmesi hususunda bilgilendirmek üzere teknik tedbirler de dahil olmak üzere makul adımları</w:t>
      </w:r>
      <w:r>
        <w:rPr>
          <w:spacing w:val="-14"/>
          <w:sz w:val="20"/>
        </w:rPr>
        <w:t> </w:t>
      </w:r>
      <w:r>
        <w:rPr>
          <w:sz w:val="20"/>
        </w:rPr>
        <w:t>atar.</w:t>
      </w:r>
    </w:p>
    <w:p>
      <w:pPr>
        <w:spacing w:after="0" w:line="276"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29"/>
        </w:numPr>
        <w:tabs>
          <w:tab w:pos="1139" w:val="left" w:leader="none"/>
          <w:tab w:pos="1140" w:val="left" w:leader="none"/>
        </w:tabs>
        <w:spacing w:line="240" w:lineRule="auto" w:before="66" w:after="0"/>
        <w:ind w:left="1139" w:right="0" w:hanging="413"/>
        <w:jc w:val="left"/>
        <w:rPr>
          <w:sz w:val="20"/>
        </w:rPr>
      </w:pPr>
      <w:r>
        <w:rPr>
          <w:sz w:val="20"/>
        </w:rPr>
        <w:t>1</w:t>
      </w:r>
      <w:r>
        <w:rPr>
          <w:spacing w:val="-4"/>
          <w:sz w:val="20"/>
        </w:rPr>
        <w:t> </w:t>
      </w:r>
      <w:r>
        <w:rPr>
          <w:sz w:val="20"/>
        </w:rPr>
        <w:t>ve</w:t>
      </w:r>
      <w:r>
        <w:rPr>
          <w:spacing w:val="-4"/>
          <w:sz w:val="20"/>
        </w:rPr>
        <w:t> </w:t>
      </w:r>
      <w:r>
        <w:rPr>
          <w:sz w:val="20"/>
        </w:rPr>
        <w:t>2.</w:t>
      </w:r>
      <w:r>
        <w:rPr>
          <w:spacing w:val="-2"/>
          <w:sz w:val="20"/>
        </w:rPr>
        <w:t> </w:t>
      </w:r>
      <w:r>
        <w:rPr>
          <w:sz w:val="20"/>
        </w:rPr>
        <w:t>paragraflar</w:t>
      </w:r>
      <w:r>
        <w:rPr>
          <w:spacing w:val="-4"/>
          <w:sz w:val="20"/>
        </w:rPr>
        <w:t> </w:t>
      </w:r>
      <w:r>
        <w:rPr>
          <w:sz w:val="20"/>
        </w:rPr>
        <w:t>işleme</w:t>
      </w:r>
      <w:r>
        <w:rPr>
          <w:spacing w:val="-4"/>
          <w:sz w:val="20"/>
        </w:rPr>
        <w:t> </w:t>
      </w:r>
      <w:r>
        <w:rPr>
          <w:sz w:val="20"/>
        </w:rPr>
        <w:t>faaliyeti</w:t>
      </w:r>
      <w:r>
        <w:rPr>
          <w:spacing w:val="-3"/>
          <w:sz w:val="20"/>
        </w:rPr>
        <w:t> </w:t>
      </w:r>
      <w:r>
        <w:rPr>
          <w:sz w:val="20"/>
        </w:rPr>
        <w:t>aşağıdaki</w:t>
      </w:r>
      <w:r>
        <w:rPr>
          <w:spacing w:val="-5"/>
          <w:sz w:val="20"/>
        </w:rPr>
        <w:t> </w:t>
      </w:r>
      <w:r>
        <w:rPr>
          <w:sz w:val="20"/>
        </w:rPr>
        <w:t>amaçlar</w:t>
      </w:r>
      <w:r>
        <w:rPr>
          <w:spacing w:val="-4"/>
          <w:sz w:val="20"/>
        </w:rPr>
        <w:t> </w:t>
      </w:r>
      <w:r>
        <w:rPr>
          <w:sz w:val="20"/>
        </w:rPr>
        <w:t>doğrultusunda</w:t>
      </w:r>
      <w:r>
        <w:rPr>
          <w:spacing w:val="-2"/>
          <w:sz w:val="20"/>
        </w:rPr>
        <w:t> </w:t>
      </w:r>
      <w:r>
        <w:rPr>
          <w:sz w:val="20"/>
        </w:rPr>
        <w:t>gerekli</w:t>
      </w:r>
      <w:r>
        <w:rPr>
          <w:spacing w:val="-5"/>
          <w:sz w:val="20"/>
        </w:rPr>
        <w:t> </w:t>
      </w:r>
      <w:r>
        <w:rPr>
          <w:sz w:val="20"/>
        </w:rPr>
        <w:t>olduğu</w:t>
      </w:r>
      <w:r>
        <w:rPr>
          <w:spacing w:val="-5"/>
          <w:sz w:val="20"/>
        </w:rPr>
        <w:t> </w:t>
      </w:r>
      <w:r>
        <w:rPr>
          <w:sz w:val="20"/>
        </w:rPr>
        <w:t>ölçüde</w:t>
      </w:r>
      <w:r>
        <w:rPr>
          <w:spacing w:val="-2"/>
          <w:sz w:val="20"/>
        </w:rPr>
        <w:t> </w:t>
      </w:r>
      <w:r>
        <w:rPr>
          <w:sz w:val="20"/>
        </w:rPr>
        <w:t>uygulanmaz:</w:t>
      </w:r>
    </w:p>
    <w:p>
      <w:pPr>
        <w:pStyle w:val="ListParagraph"/>
        <w:numPr>
          <w:ilvl w:val="0"/>
          <w:numId w:val="31"/>
        </w:numPr>
        <w:tabs>
          <w:tab w:pos="1027" w:val="left" w:leader="none"/>
        </w:tabs>
        <w:spacing w:line="240" w:lineRule="auto" w:before="35" w:after="0"/>
        <w:ind w:left="1022" w:right="0" w:hanging="296"/>
        <w:jc w:val="left"/>
        <w:rPr>
          <w:sz w:val="20"/>
        </w:rPr>
      </w:pPr>
      <w:r>
        <w:rPr>
          <w:sz w:val="20"/>
        </w:rPr>
        <w:t>ifade ve bilgi edinme hakkının</w:t>
      </w:r>
      <w:r>
        <w:rPr>
          <w:spacing w:val="-3"/>
          <w:sz w:val="20"/>
        </w:rPr>
        <w:t> </w:t>
      </w:r>
      <w:r>
        <w:rPr>
          <w:sz w:val="20"/>
        </w:rPr>
        <w:t>kullanılması;</w:t>
      </w:r>
    </w:p>
    <w:p>
      <w:pPr>
        <w:pStyle w:val="BodyText"/>
        <w:spacing w:before="11"/>
        <w:rPr>
          <w:sz w:val="26"/>
        </w:rPr>
      </w:pPr>
    </w:p>
    <w:p>
      <w:pPr>
        <w:pStyle w:val="ListParagraph"/>
        <w:numPr>
          <w:ilvl w:val="0"/>
          <w:numId w:val="31"/>
        </w:numPr>
        <w:tabs>
          <w:tab w:pos="1063" w:val="left" w:leader="none"/>
        </w:tabs>
        <w:spacing w:line="276" w:lineRule="auto" w:before="0" w:after="0"/>
        <w:ind w:left="1022" w:right="699" w:hanging="296"/>
        <w:jc w:val="both"/>
        <w:rPr>
          <w:sz w:val="20"/>
        </w:rPr>
      </w:pPr>
      <w:r>
        <w:rPr>
          <w:sz w:val="20"/>
        </w:rPr>
        <w:t>kontrolörün tabi olduğu Birlik veya üye devlet hukuku çerçevesinde işleme faaliyeti gerektiren bir yasal yükümlülüğe uygunluk açısından veya kamu yararına gerçekleştirilen bir görevin yerine getirilmesi veya kontrolöre verilen resmi bir yetkinin uygulanması</w:t>
      </w:r>
      <w:r>
        <w:rPr>
          <w:spacing w:val="-12"/>
          <w:sz w:val="20"/>
        </w:rPr>
        <w:t> </w:t>
      </w:r>
      <w:r>
        <w:rPr>
          <w:sz w:val="20"/>
        </w:rPr>
        <w:t>açısından;</w:t>
      </w:r>
    </w:p>
    <w:p>
      <w:pPr>
        <w:pStyle w:val="BodyText"/>
        <w:spacing w:before="10"/>
        <w:rPr>
          <w:sz w:val="23"/>
        </w:rPr>
      </w:pPr>
    </w:p>
    <w:p>
      <w:pPr>
        <w:pStyle w:val="ListParagraph"/>
        <w:numPr>
          <w:ilvl w:val="0"/>
          <w:numId w:val="31"/>
        </w:numPr>
        <w:tabs>
          <w:tab w:pos="1039" w:val="left" w:leader="none"/>
        </w:tabs>
        <w:spacing w:line="278" w:lineRule="auto" w:before="0" w:after="0"/>
        <w:ind w:left="1022" w:right="699" w:hanging="296"/>
        <w:jc w:val="both"/>
        <w:rPr>
          <w:sz w:val="20"/>
        </w:rPr>
      </w:pPr>
      <w:r>
        <w:rPr>
          <w:sz w:val="20"/>
        </w:rPr>
        <w:t>9(2) maddesinin (h) ve (i) bentlerinin yanı sıra 9(3) maddesi uyarınca halk sağlığı alanındaki kamu yararı sebeplerinden</w:t>
      </w:r>
      <w:r>
        <w:rPr>
          <w:spacing w:val="-3"/>
          <w:sz w:val="20"/>
        </w:rPr>
        <w:t> </w:t>
      </w:r>
      <w:r>
        <w:rPr>
          <w:sz w:val="20"/>
        </w:rPr>
        <w:t>dolayı;</w:t>
      </w:r>
    </w:p>
    <w:p>
      <w:pPr>
        <w:pStyle w:val="BodyText"/>
        <w:spacing w:before="8"/>
        <w:rPr>
          <w:sz w:val="23"/>
        </w:rPr>
      </w:pPr>
    </w:p>
    <w:p>
      <w:pPr>
        <w:pStyle w:val="ListParagraph"/>
        <w:numPr>
          <w:ilvl w:val="0"/>
          <w:numId w:val="31"/>
        </w:numPr>
        <w:tabs>
          <w:tab w:pos="1041" w:val="left" w:leader="none"/>
        </w:tabs>
        <w:spacing w:line="276" w:lineRule="auto" w:before="0" w:after="0"/>
        <w:ind w:left="1022" w:right="688" w:hanging="296"/>
        <w:jc w:val="both"/>
        <w:rPr>
          <w:sz w:val="20"/>
        </w:rPr>
      </w:pPr>
      <w:r>
        <w:rPr>
          <w:sz w:val="20"/>
        </w:rPr>
        <w:t>1. paragrafta atıfta bulunulan hakkın ilgili işleme hedeflerinin yakalanmasını imkansız hale getirmesi veya yakalanmasına ciddi şekilde zarar vermesinin muhtemel olduğu ölçüde, 89(1) maddesi uyarınca kamu yararına arşivleme amaçları, bilimsel veya tarihi araştırma amaçları ya da istatistiki amaçlar doğrultusunda veya</w:t>
      </w:r>
    </w:p>
    <w:p>
      <w:pPr>
        <w:pStyle w:val="BodyText"/>
        <w:spacing w:before="8"/>
        <w:rPr>
          <w:sz w:val="23"/>
        </w:rPr>
      </w:pPr>
    </w:p>
    <w:p>
      <w:pPr>
        <w:pStyle w:val="ListParagraph"/>
        <w:numPr>
          <w:ilvl w:val="0"/>
          <w:numId w:val="31"/>
        </w:numPr>
        <w:tabs>
          <w:tab w:pos="1029" w:val="left" w:leader="none"/>
        </w:tabs>
        <w:spacing w:line="240" w:lineRule="auto" w:before="0" w:after="0"/>
        <w:ind w:left="1028" w:right="0" w:hanging="302"/>
        <w:jc w:val="left"/>
        <w:rPr>
          <w:sz w:val="20"/>
        </w:rPr>
      </w:pPr>
      <w:r>
        <w:rPr>
          <w:sz w:val="20"/>
        </w:rPr>
        <w:t>yasal iddialarda bulunulması, bu iddiaların uygulanması veya savunulması</w:t>
      </w:r>
      <w:r>
        <w:rPr>
          <w:spacing w:val="-15"/>
          <w:sz w:val="20"/>
        </w:rPr>
        <w:t> </w:t>
      </w:r>
      <w:r>
        <w:rPr>
          <w:sz w:val="20"/>
        </w:rPr>
        <w:t>açısından.</w:t>
      </w:r>
    </w:p>
    <w:p>
      <w:pPr>
        <w:pStyle w:val="BodyText"/>
        <w:rPr>
          <w:sz w:val="22"/>
        </w:rPr>
      </w:pPr>
    </w:p>
    <w:p>
      <w:pPr>
        <w:pStyle w:val="BodyText"/>
        <w:spacing w:before="10"/>
        <w:rPr>
          <w:sz w:val="27"/>
        </w:rPr>
      </w:pPr>
    </w:p>
    <w:p>
      <w:pPr>
        <w:pStyle w:val="BodyText"/>
        <w:spacing w:line="276" w:lineRule="auto" w:before="1"/>
        <w:ind w:left="5035" w:right="5053"/>
        <w:jc w:val="center"/>
      </w:pPr>
      <w:r>
        <w:rPr/>
        <w:t>Madde 18</w:t>
      </w:r>
    </w:p>
    <w:p>
      <w:pPr>
        <w:pStyle w:val="BodyText"/>
        <w:rPr>
          <w:sz w:val="22"/>
        </w:rPr>
      </w:pPr>
    </w:p>
    <w:p>
      <w:pPr>
        <w:pStyle w:val="BodyText"/>
        <w:spacing w:before="5"/>
        <w:rPr>
          <w:sz w:val="24"/>
        </w:rPr>
      </w:pPr>
    </w:p>
    <w:p>
      <w:pPr>
        <w:pStyle w:val="Heading1"/>
        <w:spacing w:line="276" w:lineRule="auto"/>
        <w:ind w:left="4024" w:right="4046"/>
      </w:pPr>
      <w:r>
        <w:rPr/>
        <w:t>İşleme faaliyetini kısıtlama hakkı</w:t>
      </w:r>
    </w:p>
    <w:p>
      <w:pPr>
        <w:pStyle w:val="BodyText"/>
        <w:rPr>
          <w:b/>
          <w:sz w:val="22"/>
        </w:rPr>
      </w:pPr>
    </w:p>
    <w:p>
      <w:pPr>
        <w:pStyle w:val="BodyText"/>
        <w:spacing w:before="6"/>
        <w:rPr>
          <w:b/>
          <w:sz w:val="25"/>
        </w:rPr>
      </w:pPr>
    </w:p>
    <w:p>
      <w:pPr>
        <w:pStyle w:val="ListParagraph"/>
        <w:numPr>
          <w:ilvl w:val="0"/>
          <w:numId w:val="32"/>
        </w:numPr>
        <w:tabs>
          <w:tab w:pos="979" w:val="left" w:leader="none"/>
        </w:tabs>
        <w:spacing w:line="276" w:lineRule="auto" w:before="0" w:after="0"/>
        <w:ind w:left="726" w:right="699" w:firstLine="0"/>
        <w:jc w:val="left"/>
        <w:rPr>
          <w:sz w:val="20"/>
        </w:rPr>
      </w:pPr>
      <w:r>
        <w:rPr>
          <w:sz w:val="20"/>
        </w:rPr>
        <w:t>Aşağıdaki durumlardan birinin geçerli olması halinde, veri sahibinin kontrolörden işleme faaliyetinin kısıtlanmasını talep etme hakkı</w:t>
      </w:r>
      <w:r>
        <w:rPr>
          <w:spacing w:val="-4"/>
          <w:sz w:val="20"/>
        </w:rPr>
        <w:t> </w:t>
      </w:r>
      <w:r>
        <w:rPr>
          <w:sz w:val="20"/>
        </w:rPr>
        <w:t>bulunur:</w:t>
      </w:r>
    </w:p>
    <w:p>
      <w:pPr>
        <w:pStyle w:val="BodyText"/>
        <w:spacing w:before="1"/>
        <w:rPr>
          <w:sz w:val="24"/>
        </w:rPr>
      </w:pPr>
    </w:p>
    <w:p>
      <w:pPr>
        <w:pStyle w:val="ListParagraph"/>
        <w:numPr>
          <w:ilvl w:val="0"/>
          <w:numId w:val="33"/>
        </w:numPr>
        <w:tabs>
          <w:tab w:pos="1039" w:val="left" w:leader="none"/>
        </w:tabs>
        <w:spacing w:line="276" w:lineRule="auto" w:before="1" w:after="0"/>
        <w:ind w:left="1022" w:right="702" w:hanging="296"/>
        <w:jc w:val="both"/>
        <w:rPr>
          <w:sz w:val="20"/>
        </w:rPr>
      </w:pPr>
      <w:r>
        <w:rPr>
          <w:sz w:val="20"/>
        </w:rPr>
        <w:t>kişisel verilerin doğruluğuna veri sahibi tarafından itiraz edilmesi halinde, kontrolörün kişisel verilerin doğruluğunu teyit etmesini sağlayan bir süre</w:t>
      </w:r>
      <w:r>
        <w:rPr>
          <w:spacing w:val="-3"/>
          <w:sz w:val="20"/>
        </w:rPr>
        <w:t> </w:t>
      </w:r>
      <w:r>
        <w:rPr>
          <w:sz w:val="20"/>
        </w:rPr>
        <w:t>boyunca;</w:t>
      </w:r>
    </w:p>
    <w:p>
      <w:pPr>
        <w:pStyle w:val="BodyText"/>
        <w:spacing w:before="10"/>
        <w:rPr>
          <w:sz w:val="23"/>
        </w:rPr>
      </w:pPr>
    </w:p>
    <w:p>
      <w:pPr>
        <w:pStyle w:val="ListParagraph"/>
        <w:numPr>
          <w:ilvl w:val="0"/>
          <w:numId w:val="33"/>
        </w:numPr>
        <w:tabs>
          <w:tab w:pos="1027" w:val="left" w:leader="none"/>
        </w:tabs>
        <w:spacing w:line="276" w:lineRule="auto" w:before="0" w:after="0"/>
        <w:ind w:left="1022" w:right="695" w:hanging="296"/>
        <w:jc w:val="both"/>
        <w:rPr>
          <w:sz w:val="20"/>
        </w:rPr>
      </w:pPr>
      <w:r>
        <w:rPr>
          <w:sz w:val="20"/>
        </w:rPr>
        <w:t>işleme faaliyetinin yasa dışı olması ve veri sahibinin kişisel verilerin silinmesine itiraz etmesi ve bunun yerine verilerin kullanımının kısıtlanmasını talep</w:t>
      </w:r>
      <w:r>
        <w:rPr>
          <w:spacing w:val="-6"/>
          <w:sz w:val="20"/>
        </w:rPr>
        <w:t> </w:t>
      </w:r>
      <w:r>
        <w:rPr>
          <w:sz w:val="20"/>
        </w:rPr>
        <w:t>etmesi;</w:t>
      </w:r>
    </w:p>
    <w:p>
      <w:pPr>
        <w:pStyle w:val="BodyText"/>
        <w:spacing w:before="10"/>
        <w:rPr>
          <w:sz w:val="23"/>
        </w:rPr>
      </w:pPr>
    </w:p>
    <w:p>
      <w:pPr>
        <w:pStyle w:val="ListParagraph"/>
        <w:numPr>
          <w:ilvl w:val="0"/>
          <w:numId w:val="33"/>
        </w:numPr>
        <w:tabs>
          <w:tab w:pos="1060" w:val="left" w:leader="none"/>
        </w:tabs>
        <w:spacing w:line="276" w:lineRule="auto" w:before="1" w:after="0"/>
        <w:ind w:left="1022" w:right="694" w:hanging="296"/>
        <w:jc w:val="both"/>
        <w:rPr>
          <w:sz w:val="20"/>
        </w:rPr>
      </w:pPr>
      <w:r>
        <w:rPr>
          <w:sz w:val="20"/>
        </w:rPr>
        <w:t>kontrolörün işleme amaçlarına yönelik olarak artık kişisel verilere ihtiyaç duymaması, ancak veri sahibinin yasal iddialarda bulunulması, bu iddiaların uygulanması veya savunulması amacıyla söz konusu verilere ihtiyaç</w:t>
      </w:r>
      <w:r>
        <w:rPr>
          <w:spacing w:val="-1"/>
          <w:sz w:val="20"/>
        </w:rPr>
        <w:t> </w:t>
      </w:r>
      <w:r>
        <w:rPr>
          <w:sz w:val="20"/>
        </w:rPr>
        <w:t>duyması;</w:t>
      </w:r>
    </w:p>
    <w:p>
      <w:pPr>
        <w:pStyle w:val="BodyText"/>
        <w:spacing w:before="1"/>
        <w:rPr>
          <w:sz w:val="24"/>
        </w:rPr>
      </w:pPr>
    </w:p>
    <w:p>
      <w:pPr>
        <w:pStyle w:val="ListParagraph"/>
        <w:numPr>
          <w:ilvl w:val="0"/>
          <w:numId w:val="33"/>
        </w:numPr>
        <w:tabs>
          <w:tab w:pos="1130" w:val="left" w:leader="none"/>
        </w:tabs>
        <w:spacing w:line="276" w:lineRule="auto" w:before="0" w:after="0"/>
        <w:ind w:left="1022" w:right="697" w:hanging="296"/>
        <w:jc w:val="both"/>
        <w:rPr>
          <w:sz w:val="20"/>
        </w:rPr>
      </w:pPr>
      <w:r>
        <w:rPr>
          <w:sz w:val="20"/>
        </w:rPr>
        <w:t>kontrolörün meşru gerekçelerinin veri sahibinin meşru gerekçelerine ağır basıp basmadığı doğrulanana kadar, veri sahibinin 21(1) maddesi uyarınca işleme faaliyetine itiraz</w:t>
      </w:r>
      <w:r>
        <w:rPr>
          <w:spacing w:val="-23"/>
          <w:sz w:val="20"/>
        </w:rPr>
        <w:t> </w:t>
      </w:r>
      <w:r>
        <w:rPr>
          <w:sz w:val="20"/>
        </w:rPr>
        <w:t>etmesi.</w:t>
      </w:r>
    </w:p>
    <w:p>
      <w:pPr>
        <w:pStyle w:val="BodyText"/>
        <w:spacing w:before="11"/>
        <w:rPr>
          <w:sz w:val="23"/>
        </w:rPr>
      </w:pPr>
    </w:p>
    <w:p>
      <w:pPr>
        <w:pStyle w:val="ListParagraph"/>
        <w:numPr>
          <w:ilvl w:val="0"/>
          <w:numId w:val="32"/>
        </w:numPr>
        <w:tabs>
          <w:tab w:pos="1140" w:val="left" w:leader="none"/>
        </w:tabs>
        <w:spacing w:line="276" w:lineRule="auto" w:before="0" w:after="0"/>
        <w:ind w:left="726" w:right="696" w:firstLine="0"/>
        <w:jc w:val="both"/>
        <w:rPr>
          <w:sz w:val="20"/>
        </w:rPr>
      </w:pPr>
      <w:r>
        <w:rPr>
          <w:sz w:val="20"/>
        </w:rPr>
        <w:t>İşleme faaliyetinin 1. paragraf kapsamında kısıtlanmış olduğu hallerde, söz konusu kişisel veriler, saklama haricinde, yalnızca veri sahibinin rızasıyla veya yasal iddialarda bulunulması, bu iddiaların uygulanması </w:t>
      </w:r>
      <w:r>
        <w:rPr>
          <w:spacing w:val="-3"/>
          <w:sz w:val="20"/>
        </w:rPr>
        <w:t>ya </w:t>
      </w:r>
      <w:r>
        <w:rPr>
          <w:sz w:val="20"/>
        </w:rPr>
        <w:t>da savunulmasına yönelik olarak </w:t>
      </w:r>
      <w:r>
        <w:rPr>
          <w:spacing w:val="-3"/>
          <w:sz w:val="20"/>
        </w:rPr>
        <w:t>ya </w:t>
      </w:r>
      <w:r>
        <w:rPr>
          <w:sz w:val="20"/>
        </w:rPr>
        <w:t>da başka bir gerçek veya tüzel kişinin haklarının korunmasına yönelik olarak </w:t>
      </w:r>
      <w:r>
        <w:rPr>
          <w:spacing w:val="-3"/>
          <w:sz w:val="20"/>
        </w:rPr>
        <w:t>ya </w:t>
      </w:r>
      <w:r>
        <w:rPr>
          <w:sz w:val="20"/>
        </w:rPr>
        <w:t>da Birlik veya bir üye devletin önemli kamu yararı adına önemli sebeplerinden dolayı</w:t>
      </w:r>
      <w:r>
        <w:rPr>
          <w:spacing w:val="-1"/>
          <w:sz w:val="20"/>
        </w:rPr>
        <w:t> </w:t>
      </w:r>
      <w:r>
        <w:rPr>
          <w:sz w:val="20"/>
        </w:rPr>
        <w:t>işlenir.</w:t>
      </w:r>
    </w:p>
    <w:p>
      <w:pPr>
        <w:spacing w:after="0" w:line="276"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before="3"/>
        <w:rPr>
          <w:sz w:val="25"/>
        </w:rPr>
      </w:pPr>
    </w:p>
    <w:p>
      <w:pPr>
        <w:pStyle w:val="ListParagraph"/>
        <w:numPr>
          <w:ilvl w:val="0"/>
          <w:numId w:val="32"/>
        </w:numPr>
        <w:tabs>
          <w:tab w:pos="1140" w:val="left" w:leader="none"/>
        </w:tabs>
        <w:spacing w:line="276" w:lineRule="auto" w:before="93" w:after="0"/>
        <w:ind w:left="726" w:right="693" w:firstLine="0"/>
        <w:jc w:val="both"/>
        <w:rPr>
          <w:sz w:val="20"/>
        </w:rPr>
      </w:pPr>
      <w:r>
        <w:rPr>
          <w:sz w:val="20"/>
        </w:rPr>
        <w:t>1. paragraf uyarınca işleme faaliyetinin kısıtlanmasını sağlayan bir veri sahibi, işleme faaliyetine ilişkin kısıtlama kaldırılmadan önce, kontrolör tarafından</w:t>
      </w:r>
      <w:r>
        <w:rPr>
          <w:spacing w:val="-15"/>
          <w:sz w:val="20"/>
        </w:rPr>
        <w:t> </w:t>
      </w:r>
      <w:r>
        <w:rPr>
          <w:sz w:val="20"/>
        </w:rPr>
        <w:t>bilgilendirilir.</w:t>
      </w:r>
    </w:p>
    <w:p>
      <w:pPr>
        <w:pStyle w:val="BodyText"/>
        <w:rPr>
          <w:sz w:val="22"/>
        </w:rPr>
      </w:pPr>
    </w:p>
    <w:p>
      <w:pPr>
        <w:pStyle w:val="BodyText"/>
        <w:spacing w:before="8"/>
        <w:rPr>
          <w:sz w:val="25"/>
        </w:rPr>
      </w:pPr>
    </w:p>
    <w:p>
      <w:pPr>
        <w:pStyle w:val="BodyText"/>
        <w:spacing w:line="276" w:lineRule="auto"/>
        <w:ind w:left="5035" w:right="5053"/>
        <w:jc w:val="center"/>
      </w:pPr>
      <w:r>
        <w:rPr/>
        <w:t>Madde 19</w:t>
      </w:r>
    </w:p>
    <w:p>
      <w:pPr>
        <w:pStyle w:val="BodyText"/>
        <w:rPr>
          <w:sz w:val="22"/>
        </w:rPr>
      </w:pPr>
    </w:p>
    <w:p>
      <w:pPr>
        <w:pStyle w:val="BodyText"/>
        <w:spacing w:before="3"/>
        <w:rPr>
          <w:sz w:val="24"/>
        </w:rPr>
      </w:pPr>
    </w:p>
    <w:p>
      <w:pPr>
        <w:pStyle w:val="Heading1"/>
        <w:spacing w:line="276" w:lineRule="auto"/>
        <w:ind w:left="1272" w:right="1294"/>
      </w:pPr>
      <w:r>
        <w:rPr/>
        <w:t>Kişisel verilerin düzeltilmesine ya da silinmesine veya işleme faaliyetinin kısıtlanmasına ilişkin bildirim yükümlülüğü</w:t>
      </w:r>
    </w:p>
    <w:p>
      <w:pPr>
        <w:pStyle w:val="BodyText"/>
        <w:rPr>
          <w:b/>
          <w:sz w:val="22"/>
        </w:rPr>
      </w:pPr>
    </w:p>
    <w:p>
      <w:pPr>
        <w:pStyle w:val="BodyText"/>
        <w:spacing w:before="3"/>
        <w:rPr>
          <w:b/>
          <w:sz w:val="24"/>
        </w:rPr>
      </w:pPr>
    </w:p>
    <w:p>
      <w:pPr>
        <w:pStyle w:val="BodyText"/>
        <w:spacing w:line="276" w:lineRule="auto" w:before="1"/>
        <w:ind w:left="726" w:right="696"/>
        <w:jc w:val="both"/>
      </w:pPr>
      <w:r>
        <w:rPr/>
        <w:t>Kontrolör, imkansız olmaması veya ölçüsüz bir çabayı gerektirmemesi halinde, 16. madde, 17(1) maddesi ve 18. madde uyarınca gerçekleştirilen her türlü kişisel veri düzeltme veya silme işlemi ya da işleme faaliyetini kısıtlama işlemini kişisel verilerin açıklandığı her alıcıya bildirir. Veri sahibinin bu yönde bir talebinin bulunması halinde, kontrolör veri sahibini bu alıcılar hakkında</w:t>
      </w:r>
      <w:r>
        <w:rPr>
          <w:spacing w:val="-21"/>
        </w:rPr>
        <w:t> </w:t>
      </w:r>
      <w:r>
        <w:rPr/>
        <w:t>bilgilendirir.</w:t>
      </w:r>
    </w:p>
    <w:p>
      <w:pPr>
        <w:pStyle w:val="BodyText"/>
        <w:rPr>
          <w:sz w:val="22"/>
        </w:rPr>
      </w:pPr>
    </w:p>
    <w:p>
      <w:pPr>
        <w:pStyle w:val="BodyText"/>
        <w:spacing w:before="7"/>
        <w:rPr>
          <w:sz w:val="25"/>
        </w:rPr>
      </w:pPr>
    </w:p>
    <w:p>
      <w:pPr>
        <w:pStyle w:val="BodyText"/>
        <w:spacing w:line="278" w:lineRule="auto"/>
        <w:ind w:left="5035" w:right="5053"/>
        <w:jc w:val="center"/>
      </w:pPr>
      <w:r>
        <w:rPr/>
        <w:t>Madde 20</w:t>
      </w:r>
    </w:p>
    <w:p>
      <w:pPr>
        <w:pStyle w:val="BodyText"/>
        <w:rPr>
          <w:sz w:val="22"/>
        </w:rPr>
      </w:pPr>
    </w:p>
    <w:p>
      <w:pPr>
        <w:pStyle w:val="BodyText"/>
        <w:spacing w:before="3"/>
        <w:rPr>
          <w:sz w:val="24"/>
        </w:rPr>
      </w:pPr>
    </w:p>
    <w:p>
      <w:pPr>
        <w:pStyle w:val="Heading1"/>
        <w:spacing w:line="276" w:lineRule="auto"/>
        <w:ind w:left="4428" w:right="4447"/>
      </w:pPr>
      <w:r>
        <w:rPr/>
        <w:t>Veri taşınabilirliği hakkı</w:t>
      </w:r>
    </w:p>
    <w:p>
      <w:pPr>
        <w:pStyle w:val="BodyText"/>
        <w:rPr>
          <w:b/>
          <w:sz w:val="22"/>
        </w:rPr>
      </w:pPr>
    </w:p>
    <w:p>
      <w:pPr>
        <w:pStyle w:val="BodyText"/>
        <w:spacing w:before="5"/>
        <w:rPr>
          <w:b/>
          <w:sz w:val="24"/>
        </w:rPr>
      </w:pPr>
    </w:p>
    <w:p>
      <w:pPr>
        <w:pStyle w:val="ListParagraph"/>
        <w:numPr>
          <w:ilvl w:val="0"/>
          <w:numId w:val="34"/>
        </w:numPr>
        <w:tabs>
          <w:tab w:pos="965" w:val="left" w:leader="none"/>
        </w:tabs>
        <w:spacing w:line="276" w:lineRule="auto" w:before="1" w:after="0"/>
        <w:ind w:left="726" w:right="691" w:firstLine="0"/>
        <w:jc w:val="both"/>
        <w:rPr>
          <w:sz w:val="20"/>
        </w:rPr>
      </w:pPr>
      <w:r>
        <w:rPr>
          <w:sz w:val="20"/>
        </w:rPr>
        <w:t>Aşağıdaki hallerde, veri sahibinin kendisi ile ilgili olarak bir kontrolöre sağlamış olduğu kişisel verileri yapılandırılmış, yaygın olarak kullanılan ve makine tarafından okunabilecek bir formatta alma hakkı bulunur ve kişisel verilerin sağlandığı kontrolörün herhangi bir engellemesi olmaksızın bu verileri başka bir kontrolöre iletme hakkı</w:t>
      </w:r>
      <w:r>
        <w:rPr>
          <w:spacing w:val="-3"/>
          <w:sz w:val="20"/>
        </w:rPr>
        <w:t> </w:t>
      </w:r>
      <w:r>
        <w:rPr>
          <w:sz w:val="20"/>
        </w:rPr>
        <w:t>bulunur:</w:t>
      </w:r>
    </w:p>
    <w:p>
      <w:pPr>
        <w:pStyle w:val="BodyText"/>
        <w:spacing w:before="4"/>
        <w:rPr>
          <w:sz w:val="23"/>
        </w:rPr>
      </w:pPr>
    </w:p>
    <w:p>
      <w:pPr>
        <w:pStyle w:val="ListParagraph"/>
        <w:numPr>
          <w:ilvl w:val="0"/>
          <w:numId w:val="35"/>
        </w:numPr>
        <w:tabs>
          <w:tab w:pos="1027" w:val="left" w:leader="none"/>
        </w:tabs>
        <w:spacing w:line="276" w:lineRule="auto" w:before="0" w:after="0"/>
        <w:ind w:left="1022" w:right="778" w:hanging="296"/>
        <w:jc w:val="left"/>
        <w:rPr>
          <w:sz w:val="20"/>
        </w:rPr>
      </w:pPr>
      <w:r>
        <w:rPr>
          <w:sz w:val="20"/>
        </w:rPr>
        <w:t>işleme</w:t>
      </w:r>
      <w:r>
        <w:rPr>
          <w:spacing w:val="-6"/>
          <w:sz w:val="20"/>
        </w:rPr>
        <w:t> </w:t>
      </w:r>
      <w:r>
        <w:rPr>
          <w:sz w:val="20"/>
        </w:rPr>
        <w:t>faaliyetinin</w:t>
      </w:r>
      <w:r>
        <w:rPr>
          <w:spacing w:val="-6"/>
          <w:sz w:val="20"/>
        </w:rPr>
        <w:t> </w:t>
      </w:r>
      <w:r>
        <w:rPr>
          <w:sz w:val="20"/>
        </w:rPr>
        <w:t>6(1)</w:t>
      </w:r>
      <w:r>
        <w:rPr>
          <w:spacing w:val="-3"/>
          <w:sz w:val="20"/>
        </w:rPr>
        <w:t> </w:t>
      </w:r>
      <w:r>
        <w:rPr>
          <w:sz w:val="20"/>
        </w:rPr>
        <w:t>maddesinin</w:t>
      </w:r>
      <w:r>
        <w:rPr>
          <w:spacing w:val="-6"/>
          <w:sz w:val="20"/>
        </w:rPr>
        <w:t> </w:t>
      </w:r>
      <w:r>
        <w:rPr>
          <w:sz w:val="20"/>
        </w:rPr>
        <w:t>(a)</w:t>
      </w:r>
      <w:r>
        <w:rPr>
          <w:spacing w:val="-3"/>
          <w:sz w:val="20"/>
        </w:rPr>
        <w:t> </w:t>
      </w:r>
      <w:r>
        <w:rPr>
          <w:sz w:val="20"/>
        </w:rPr>
        <w:t>bendi</w:t>
      </w:r>
      <w:r>
        <w:rPr>
          <w:spacing w:val="-5"/>
          <w:sz w:val="20"/>
        </w:rPr>
        <w:t> </w:t>
      </w:r>
      <w:r>
        <w:rPr>
          <w:sz w:val="20"/>
        </w:rPr>
        <w:t>veya</w:t>
      </w:r>
      <w:r>
        <w:rPr>
          <w:spacing w:val="-2"/>
          <w:sz w:val="20"/>
        </w:rPr>
        <w:t> </w:t>
      </w:r>
      <w:r>
        <w:rPr>
          <w:sz w:val="20"/>
        </w:rPr>
        <w:t>9(2)</w:t>
      </w:r>
      <w:r>
        <w:rPr>
          <w:spacing w:val="-5"/>
          <w:sz w:val="20"/>
        </w:rPr>
        <w:t> </w:t>
      </w:r>
      <w:r>
        <w:rPr>
          <w:sz w:val="20"/>
        </w:rPr>
        <w:t>maddesinin</w:t>
      </w:r>
      <w:r>
        <w:rPr>
          <w:spacing w:val="-6"/>
          <w:sz w:val="20"/>
        </w:rPr>
        <w:t> </w:t>
      </w:r>
      <w:r>
        <w:rPr>
          <w:sz w:val="20"/>
        </w:rPr>
        <w:t>(a)</w:t>
      </w:r>
      <w:r>
        <w:rPr>
          <w:spacing w:val="-5"/>
          <w:sz w:val="20"/>
        </w:rPr>
        <w:t> </w:t>
      </w:r>
      <w:r>
        <w:rPr>
          <w:sz w:val="20"/>
        </w:rPr>
        <w:t>bendi</w:t>
      </w:r>
      <w:r>
        <w:rPr>
          <w:spacing w:val="-7"/>
          <w:sz w:val="20"/>
        </w:rPr>
        <w:t> </w:t>
      </w:r>
      <w:r>
        <w:rPr>
          <w:sz w:val="20"/>
        </w:rPr>
        <w:t>uyarınca</w:t>
      </w:r>
      <w:r>
        <w:rPr>
          <w:spacing w:val="-4"/>
          <w:sz w:val="20"/>
        </w:rPr>
        <w:t> </w:t>
      </w:r>
      <w:r>
        <w:rPr>
          <w:sz w:val="20"/>
        </w:rPr>
        <w:t>bir</w:t>
      </w:r>
      <w:r>
        <w:rPr>
          <w:spacing w:val="-5"/>
          <w:sz w:val="20"/>
        </w:rPr>
        <w:t> </w:t>
      </w:r>
      <w:r>
        <w:rPr>
          <w:sz w:val="20"/>
        </w:rPr>
        <w:t>rızaya</w:t>
      </w:r>
      <w:r>
        <w:rPr>
          <w:spacing w:val="-4"/>
          <w:sz w:val="20"/>
        </w:rPr>
        <w:t> </w:t>
      </w:r>
      <w:r>
        <w:rPr>
          <w:sz w:val="20"/>
        </w:rPr>
        <w:t>veya 6(1) maddesinin (b) bendi uyarınca bir sözleşmeye dayanması</w:t>
      </w:r>
      <w:r>
        <w:rPr>
          <w:spacing w:val="-7"/>
          <w:sz w:val="20"/>
        </w:rPr>
        <w:t> </w:t>
      </w:r>
      <w:r>
        <w:rPr>
          <w:sz w:val="20"/>
        </w:rPr>
        <w:t>ve</w:t>
      </w:r>
    </w:p>
    <w:p>
      <w:pPr>
        <w:pStyle w:val="BodyText"/>
        <w:spacing w:before="4"/>
        <w:rPr>
          <w:sz w:val="23"/>
        </w:rPr>
      </w:pPr>
    </w:p>
    <w:p>
      <w:pPr>
        <w:pStyle w:val="ListParagraph"/>
        <w:numPr>
          <w:ilvl w:val="0"/>
          <w:numId w:val="35"/>
        </w:numPr>
        <w:tabs>
          <w:tab w:pos="1223" w:val="left" w:leader="none"/>
          <w:tab w:pos="1224" w:val="left" w:leader="none"/>
          <w:tab w:pos="2050" w:val="left" w:leader="none"/>
          <w:tab w:pos="3246" w:val="left" w:leader="none"/>
          <w:tab w:pos="4256" w:val="left" w:leader="none"/>
        </w:tabs>
        <w:spacing w:line="276" w:lineRule="auto" w:before="0" w:after="0"/>
        <w:ind w:left="726" w:right="5813" w:firstLine="0"/>
        <w:jc w:val="left"/>
        <w:rPr>
          <w:sz w:val="20"/>
        </w:rPr>
      </w:pPr>
      <w:r>
        <w:rPr>
          <w:sz w:val="20"/>
        </w:rPr>
        <w:t>işleme</w:t>
        <w:tab/>
        <w:t>faaliyetinin</w:t>
        <w:tab/>
        <w:t>otomatik</w:t>
        <w:tab/>
        <w:t>yollarla gerçekleştirilmesi.</w:t>
      </w:r>
    </w:p>
    <w:p>
      <w:pPr>
        <w:pStyle w:val="BodyText"/>
        <w:spacing w:before="8"/>
        <w:rPr>
          <w:sz w:val="23"/>
        </w:rPr>
      </w:pPr>
    </w:p>
    <w:p>
      <w:pPr>
        <w:pStyle w:val="ListParagraph"/>
        <w:numPr>
          <w:ilvl w:val="0"/>
          <w:numId w:val="34"/>
        </w:numPr>
        <w:tabs>
          <w:tab w:pos="970" w:val="left" w:leader="none"/>
        </w:tabs>
        <w:spacing w:line="276" w:lineRule="auto" w:before="1" w:after="0"/>
        <w:ind w:left="726" w:right="699" w:firstLine="0"/>
        <w:jc w:val="both"/>
        <w:rPr>
          <w:sz w:val="20"/>
        </w:rPr>
      </w:pPr>
      <w:r>
        <w:rPr>
          <w:sz w:val="20"/>
        </w:rPr>
        <w:t>1. paragraf uyarınca veri taşınabilirliği hakkını kullanırken, veri sahibinin, teknik açıdan uygulanabilir olması halinde, kişisel verilerin doğrudan bir kontrolörden diğerine ilettirme hakkı</w:t>
      </w:r>
      <w:r>
        <w:rPr>
          <w:spacing w:val="-25"/>
          <w:sz w:val="20"/>
        </w:rPr>
        <w:t> </w:t>
      </w:r>
      <w:r>
        <w:rPr>
          <w:sz w:val="20"/>
        </w:rPr>
        <w:t>bulunur.</w:t>
      </w:r>
    </w:p>
    <w:p>
      <w:pPr>
        <w:pStyle w:val="BodyText"/>
        <w:rPr>
          <w:sz w:val="22"/>
        </w:rPr>
      </w:pPr>
    </w:p>
    <w:p>
      <w:pPr>
        <w:pStyle w:val="BodyText"/>
        <w:spacing w:before="7"/>
        <w:rPr>
          <w:sz w:val="24"/>
        </w:rPr>
      </w:pPr>
    </w:p>
    <w:p>
      <w:pPr>
        <w:pStyle w:val="ListParagraph"/>
        <w:numPr>
          <w:ilvl w:val="0"/>
          <w:numId w:val="34"/>
        </w:numPr>
        <w:tabs>
          <w:tab w:pos="1140" w:val="left" w:leader="none"/>
        </w:tabs>
        <w:spacing w:line="276" w:lineRule="auto" w:before="0" w:after="0"/>
        <w:ind w:left="726" w:right="694" w:firstLine="0"/>
        <w:jc w:val="both"/>
        <w:rPr>
          <w:sz w:val="20"/>
        </w:rPr>
      </w:pPr>
      <w:r>
        <w:rPr>
          <w:sz w:val="20"/>
        </w:rPr>
        <w:t>Bu maddenin 1. paragrafında atıfta bulunulan hakkın kullanımı ile 17. maddeye halel gelmez. Söz konusu hak kamu yararına gerçekleştirilen bir görevin yerine getirilmesi veya kontrolöre verilen resmi bir yetkinin uygulanması için gereken işleme faaliyetlerine</w:t>
      </w:r>
      <w:r>
        <w:rPr>
          <w:spacing w:val="-9"/>
          <w:sz w:val="20"/>
        </w:rPr>
        <w:t> </w:t>
      </w:r>
      <w:r>
        <w:rPr>
          <w:sz w:val="20"/>
        </w:rPr>
        <w:t>uygulanmaz.</w:t>
      </w:r>
    </w:p>
    <w:p>
      <w:pPr>
        <w:pStyle w:val="BodyText"/>
        <w:spacing w:before="3"/>
        <w:rPr>
          <w:sz w:val="24"/>
        </w:rPr>
      </w:pPr>
    </w:p>
    <w:p>
      <w:pPr>
        <w:pStyle w:val="ListParagraph"/>
        <w:numPr>
          <w:ilvl w:val="0"/>
          <w:numId w:val="34"/>
        </w:numPr>
        <w:tabs>
          <w:tab w:pos="1003" w:val="left" w:leader="none"/>
        </w:tabs>
        <w:spacing w:line="240" w:lineRule="auto" w:before="1" w:after="0"/>
        <w:ind w:left="1002" w:right="0" w:hanging="276"/>
        <w:jc w:val="left"/>
        <w:rPr>
          <w:sz w:val="20"/>
        </w:rPr>
      </w:pPr>
      <w:r>
        <w:rPr>
          <w:sz w:val="20"/>
        </w:rPr>
        <w:t>1. paragrafta atıfta bulunulan hak başkalarının hakları ve özgürlüklerini olumsuz yönde</w:t>
      </w:r>
      <w:r>
        <w:rPr>
          <w:spacing w:val="-26"/>
          <w:sz w:val="20"/>
        </w:rPr>
        <w:t> </w:t>
      </w:r>
      <w:r>
        <w:rPr>
          <w:sz w:val="20"/>
        </w:rPr>
        <w:t>etkilemez.</w:t>
      </w:r>
    </w:p>
    <w:p>
      <w:pPr>
        <w:pStyle w:val="BodyText"/>
        <w:spacing w:before="11"/>
        <w:rPr>
          <w:sz w:val="26"/>
        </w:rPr>
      </w:pPr>
    </w:p>
    <w:p>
      <w:pPr>
        <w:pStyle w:val="BodyText"/>
        <w:ind w:left="2207" w:right="2222"/>
        <w:jc w:val="center"/>
      </w:pPr>
      <w:r>
        <w:rPr/>
        <w:t>Kesim 4</w:t>
      </w:r>
    </w:p>
    <w:p>
      <w:pPr>
        <w:pStyle w:val="BodyText"/>
        <w:spacing w:before="1"/>
        <w:rPr>
          <w:sz w:val="26"/>
        </w:rPr>
      </w:pPr>
    </w:p>
    <w:p>
      <w:pPr>
        <w:pStyle w:val="Heading1"/>
        <w:spacing w:before="1"/>
        <w:ind w:right="2209"/>
      </w:pPr>
      <w:r>
        <w:rPr/>
        <w:t>İtiraz hakkı ve otomatik münferit karar verme</w:t>
      </w:r>
    </w:p>
    <w:p>
      <w:pPr>
        <w:pStyle w:val="BodyText"/>
        <w:spacing w:before="1"/>
        <w:rPr>
          <w:b/>
          <w:sz w:val="26"/>
        </w:rPr>
      </w:pPr>
    </w:p>
    <w:p>
      <w:pPr>
        <w:pStyle w:val="BodyText"/>
        <w:spacing w:line="276" w:lineRule="auto"/>
        <w:ind w:left="5035" w:right="5053"/>
        <w:jc w:val="center"/>
      </w:pPr>
      <w:r>
        <w:rPr/>
        <w:t>Madde 21</w:t>
      </w:r>
    </w:p>
    <w:p>
      <w:pPr>
        <w:pStyle w:val="BodyText"/>
        <w:spacing w:before="10"/>
        <w:rPr>
          <w:sz w:val="22"/>
        </w:rPr>
      </w:pPr>
    </w:p>
    <w:p>
      <w:pPr>
        <w:pStyle w:val="Heading1"/>
        <w:ind w:right="2225"/>
      </w:pPr>
      <w:r>
        <w:rPr/>
        <w:t>İtiraz hakkı</w:t>
      </w:r>
    </w:p>
    <w:p>
      <w:pPr>
        <w:spacing w:after="0"/>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36"/>
        </w:numPr>
        <w:tabs>
          <w:tab w:pos="989" w:val="left" w:leader="none"/>
        </w:tabs>
        <w:spacing w:line="276" w:lineRule="auto" w:before="66" w:after="0"/>
        <w:ind w:left="726" w:right="686" w:firstLine="0"/>
        <w:jc w:val="both"/>
        <w:rPr>
          <w:sz w:val="20"/>
        </w:rPr>
      </w:pPr>
      <w:r>
        <w:rPr>
          <w:sz w:val="20"/>
        </w:rPr>
        <w:t>Veri sahibinin, kendi özel durumu ile ilgili gerekçelere dayalı olarak, (6)1 maddesinin </w:t>
      </w:r>
      <w:r>
        <w:rPr>
          <w:spacing w:val="2"/>
          <w:sz w:val="20"/>
        </w:rPr>
        <w:t>(e) </w:t>
      </w:r>
      <w:r>
        <w:rPr>
          <w:sz w:val="20"/>
        </w:rPr>
        <w:t>veya (f) bentlerindeki hükümlere dayalı olarak profil çıkarma da dahil olmak üzere bu bentlere dayalı olarak kendisi ile ilgili kişisel verilerin işlenmesine herhangi bir zamanda itiraz etme hakkı bulunur. Kontrolör veri sahibinin menfaatleri, hakları ve özgürlüklerinden ağır basan işleme faaliyetlerine yönelik olarak veya yasal iddialarda bulunulması, bu iddiaların uygulanması veya savunulması açısından zorlayıcı meşru gerekçeler göstermediği sürece, kontrolör artık kişisel verileri</w:t>
      </w:r>
      <w:r>
        <w:rPr>
          <w:spacing w:val="-9"/>
          <w:sz w:val="20"/>
        </w:rPr>
        <w:t> </w:t>
      </w:r>
      <w:r>
        <w:rPr>
          <w:sz w:val="20"/>
        </w:rPr>
        <w:t>işleyemez.</w:t>
      </w:r>
    </w:p>
    <w:p>
      <w:pPr>
        <w:pStyle w:val="BodyText"/>
        <w:rPr>
          <w:sz w:val="22"/>
        </w:rPr>
      </w:pPr>
    </w:p>
    <w:p>
      <w:pPr>
        <w:pStyle w:val="BodyText"/>
        <w:spacing w:before="6"/>
        <w:rPr>
          <w:sz w:val="24"/>
        </w:rPr>
      </w:pPr>
    </w:p>
    <w:p>
      <w:pPr>
        <w:pStyle w:val="ListParagraph"/>
        <w:numPr>
          <w:ilvl w:val="0"/>
          <w:numId w:val="36"/>
        </w:numPr>
        <w:tabs>
          <w:tab w:pos="1140" w:val="left" w:leader="none"/>
        </w:tabs>
        <w:spacing w:line="276" w:lineRule="auto" w:before="0" w:after="0"/>
        <w:ind w:left="726" w:right="692" w:firstLine="0"/>
        <w:jc w:val="both"/>
        <w:rPr>
          <w:sz w:val="20"/>
        </w:rPr>
      </w:pPr>
      <w:r>
        <w:rPr>
          <w:sz w:val="20"/>
        </w:rPr>
        <w:t>Kişisel verilerin doğrudan pazarlama amaçları doğrultusunda işlenmesi durumunda, veri sahibinin doğrudan pazarlama ile alakalı olduğu ölçüde profil çıkarma da dahil olmak üzere kendisi ile ilgili kişisel verilerin söz konusu doğrudan pazarlama amacı ile işlenmesine herhangi bir zamanda itiraz etme hakkı bulunur.</w:t>
      </w:r>
    </w:p>
    <w:p>
      <w:pPr>
        <w:pStyle w:val="BodyText"/>
        <w:spacing w:before="1"/>
        <w:rPr>
          <w:sz w:val="23"/>
        </w:rPr>
      </w:pPr>
    </w:p>
    <w:p>
      <w:pPr>
        <w:pStyle w:val="ListParagraph"/>
        <w:numPr>
          <w:ilvl w:val="0"/>
          <w:numId w:val="36"/>
        </w:numPr>
        <w:tabs>
          <w:tab w:pos="963" w:val="left" w:leader="none"/>
        </w:tabs>
        <w:spacing w:line="278" w:lineRule="auto" w:before="0" w:after="0"/>
        <w:ind w:left="726" w:right="700" w:firstLine="0"/>
        <w:jc w:val="both"/>
        <w:rPr>
          <w:sz w:val="20"/>
        </w:rPr>
      </w:pPr>
      <w:r>
        <w:rPr>
          <w:sz w:val="20"/>
        </w:rPr>
        <w:t>Veri sahibinin doğrudan pazarlama amaçlarına yönelik olarak işleme faaliyetine itiraz etmesi halinde, kişisel veriler artık bu amaçlarla</w:t>
      </w:r>
      <w:r>
        <w:rPr>
          <w:spacing w:val="-3"/>
          <w:sz w:val="20"/>
        </w:rPr>
        <w:t> </w:t>
      </w:r>
      <w:r>
        <w:rPr>
          <w:sz w:val="20"/>
        </w:rPr>
        <w:t>işlenemez</w:t>
      </w:r>
    </w:p>
    <w:p>
      <w:pPr>
        <w:spacing w:after="0" w:line="278"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36"/>
        </w:numPr>
        <w:tabs>
          <w:tab w:pos="960" w:val="left" w:leader="none"/>
        </w:tabs>
        <w:spacing w:line="276" w:lineRule="auto" w:before="66" w:after="0"/>
        <w:ind w:left="726" w:right="721" w:firstLine="0"/>
        <w:jc w:val="both"/>
        <w:rPr>
          <w:sz w:val="20"/>
        </w:rPr>
      </w:pPr>
      <w:r>
        <w:rPr>
          <w:sz w:val="20"/>
        </w:rPr>
        <w:t>En geç veri sahibi ile ilk kez iletişime geçildiği zaman, 1 ve 2. paragraflarda atıfta bulunulan hak açık bir şekilde veri sahibinin dikkatine sunulur ve diğer bilgilerden açık ve ayrı bir şekilde</w:t>
      </w:r>
      <w:r>
        <w:rPr>
          <w:spacing w:val="-34"/>
          <w:sz w:val="20"/>
        </w:rPr>
        <w:t> </w:t>
      </w:r>
      <w:r>
        <w:rPr>
          <w:sz w:val="20"/>
        </w:rPr>
        <w:t>sunulur.</w:t>
      </w:r>
    </w:p>
    <w:p>
      <w:pPr>
        <w:pStyle w:val="BodyText"/>
        <w:rPr>
          <w:sz w:val="22"/>
        </w:rPr>
      </w:pPr>
    </w:p>
    <w:p>
      <w:pPr>
        <w:pStyle w:val="BodyText"/>
        <w:spacing w:before="11"/>
        <w:rPr>
          <w:sz w:val="24"/>
        </w:rPr>
      </w:pPr>
    </w:p>
    <w:p>
      <w:pPr>
        <w:pStyle w:val="ListParagraph"/>
        <w:numPr>
          <w:ilvl w:val="0"/>
          <w:numId w:val="36"/>
        </w:numPr>
        <w:tabs>
          <w:tab w:pos="1140" w:val="left" w:leader="none"/>
        </w:tabs>
        <w:spacing w:line="276" w:lineRule="auto" w:before="0" w:after="0"/>
        <w:ind w:left="726" w:right="692" w:firstLine="0"/>
        <w:jc w:val="both"/>
        <w:rPr>
          <w:sz w:val="20"/>
        </w:rPr>
      </w:pPr>
      <w:r>
        <w:rPr>
          <w:sz w:val="20"/>
        </w:rPr>
        <w:t>Bilgi toplumu hizmetlerinin kullanımı bağlamında ve 2002/58/AT sayılı Direktif’e bakılmaksızın, veri sahibi teknik açıklamaları kullanmak suretiyle otomatik yollarla itiraz hakkını</w:t>
      </w:r>
      <w:r>
        <w:rPr>
          <w:spacing w:val="-15"/>
          <w:sz w:val="20"/>
        </w:rPr>
        <w:t> </w:t>
      </w:r>
      <w:r>
        <w:rPr>
          <w:sz w:val="20"/>
        </w:rPr>
        <w:t>kullanabilir.</w:t>
      </w:r>
    </w:p>
    <w:p>
      <w:pPr>
        <w:pStyle w:val="BodyText"/>
        <w:rPr>
          <w:sz w:val="22"/>
        </w:rPr>
      </w:pPr>
    </w:p>
    <w:p>
      <w:pPr>
        <w:pStyle w:val="BodyText"/>
        <w:spacing w:before="5"/>
        <w:rPr>
          <w:sz w:val="24"/>
        </w:rPr>
      </w:pPr>
    </w:p>
    <w:p>
      <w:pPr>
        <w:pStyle w:val="ListParagraph"/>
        <w:numPr>
          <w:ilvl w:val="0"/>
          <w:numId w:val="36"/>
        </w:numPr>
        <w:tabs>
          <w:tab w:pos="1140" w:val="left" w:leader="none"/>
        </w:tabs>
        <w:spacing w:line="276" w:lineRule="auto" w:before="0" w:after="0"/>
        <w:ind w:left="726" w:right="697" w:firstLine="0"/>
        <w:jc w:val="both"/>
        <w:rPr>
          <w:sz w:val="20"/>
        </w:rPr>
      </w:pPr>
      <w:r>
        <w:rPr>
          <w:sz w:val="20"/>
        </w:rPr>
        <w:t>Kişisel verilerin 89(1) maddesi uyarınca bilimsel veya tarihi araştırma amaçları ya da istatistiki amaçlar doğrultusunda işlenmesi durumunda, işleme faaliyeti kamu yararı sebeplerinden dolayı gerçekleştirilen bir görevin yürütülmesi için gerekli olmadığı sürece, veri sahibinin, kendi özel durumu ile ilgili gerekçelere dayalı olarak, kendisi ile ilgili kişisel verilerin işlenmesine itiraz hakkı</w:t>
      </w:r>
      <w:r>
        <w:rPr>
          <w:spacing w:val="-28"/>
          <w:sz w:val="20"/>
        </w:rPr>
        <w:t> </w:t>
      </w:r>
      <w:r>
        <w:rPr>
          <w:sz w:val="20"/>
        </w:rPr>
        <w:t>bulunur.</w:t>
      </w:r>
    </w:p>
    <w:p>
      <w:pPr>
        <w:pStyle w:val="BodyText"/>
        <w:rPr>
          <w:sz w:val="22"/>
        </w:rPr>
      </w:pPr>
    </w:p>
    <w:p>
      <w:pPr>
        <w:pStyle w:val="BodyText"/>
        <w:rPr>
          <w:sz w:val="24"/>
        </w:rPr>
      </w:pPr>
    </w:p>
    <w:p>
      <w:pPr>
        <w:pStyle w:val="BodyText"/>
        <w:spacing w:line="276" w:lineRule="auto"/>
        <w:ind w:left="5035" w:right="5053"/>
        <w:jc w:val="center"/>
      </w:pPr>
      <w:r>
        <w:rPr/>
        <w:t>Madde 22</w:t>
      </w:r>
    </w:p>
    <w:p>
      <w:pPr>
        <w:pStyle w:val="BodyText"/>
        <w:rPr>
          <w:sz w:val="22"/>
        </w:rPr>
      </w:pPr>
    </w:p>
    <w:p>
      <w:pPr>
        <w:pStyle w:val="BodyText"/>
        <w:spacing w:before="5"/>
        <w:rPr>
          <w:sz w:val="24"/>
        </w:rPr>
      </w:pPr>
    </w:p>
    <w:p>
      <w:pPr>
        <w:pStyle w:val="Heading1"/>
        <w:spacing w:line="276" w:lineRule="auto"/>
        <w:ind w:left="3223" w:right="3245"/>
      </w:pPr>
      <w:r>
        <w:rPr/>
        <w:t>Profil çıkarma da dahil olmak üzere otomatik münferit karar verme</w:t>
      </w:r>
    </w:p>
    <w:p>
      <w:pPr>
        <w:pStyle w:val="BodyText"/>
        <w:rPr>
          <w:b/>
          <w:sz w:val="22"/>
        </w:rPr>
      </w:pPr>
    </w:p>
    <w:p>
      <w:pPr>
        <w:pStyle w:val="BodyText"/>
        <w:spacing w:before="6"/>
        <w:rPr>
          <w:b/>
          <w:sz w:val="24"/>
        </w:rPr>
      </w:pPr>
    </w:p>
    <w:p>
      <w:pPr>
        <w:pStyle w:val="ListParagraph"/>
        <w:numPr>
          <w:ilvl w:val="0"/>
          <w:numId w:val="37"/>
        </w:numPr>
        <w:tabs>
          <w:tab w:pos="979" w:val="left" w:leader="none"/>
        </w:tabs>
        <w:spacing w:line="276" w:lineRule="auto" w:before="0" w:after="0"/>
        <w:ind w:left="726" w:right="693" w:firstLine="0"/>
        <w:jc w:val="both"/>
        <w:rPr>
          <w:sz w:val="20"/>
        </w:rPr>
      </w:pPr>
      <w:r>
        <w:rPr>
          <w:sz w:val="20"/>
        </w:rPr>
        <w:t>Veri sahibinin kendisi ile ilgili hukuki sonuçlar doğuran veya benzer biçimde kendisini kayda değer şekilde etkileyen profil çıkarma da dahil olmak üzere yalnızca otomatik işleme faaliyetine dayalı bir karara tabi olmama hakkı</w:t>
      </w:r>
      <w:r>
        <w:rPr>
          <w:spacing w:val="-6"/>
          <w:sz w:val="20"/>
        </w:rPr>
        <w:t> </w:t>
      </w:r>
      <w:r>
        <w:rPr>
          <w:sz w:val="20"/>
        </w:rPr>
        <w:t>bulunur.</w:t>
      </w:r>
    </w:p>
    <w:p>
      <w:pPr>
        <w:pStyle w:val="BodyText"/>
        <w:spacing w:before="5"/>
        <w:rPr>
          <w:sz w:val="23"/>
        </w:rPr>
      </w:pPr>
    </w:p>
    <w:p>
      <w:pPr>
        <w:pStyle w:val="ListParagraph"/>
        <w:numPr>
          <w:ilvl w:val="0"/>
          <w:numId w:val="37"/>
        </w:numPr>
        <w:tabs>
          <w:tab w:pos="948" w:val="left" w:leader="none"/>
        </w:tabs>
        <w:spacing w:line="240" w:lineRule="auto" w:before="0" w:after="0"/>
        <w:ind w:left="947" w:right="0" w:hanging="221"/>
        <w:jc w:val="left"/>
        <w:rPr>
          <w:sz w:val="20"/>
        </w:rPr>
      </w:pPr>
      <w:r>
        <w:rPr>
          <w:sz w:val="20"/>
        </w:rPr>
        <w:t>Kararın aşağıdaki özellikleri taşıması halinde, 1. paragraf</w:t>
      </w:r>
      <w:r>
        <w:rPr>
          <w:spacing w:val="-9"/>
          <w:sz w:val="20"/>
        </w:rPr>
        <w:t> </w:t>
      </w:r>
      <w:r>
        <w:rPr>
          <w:sz w:val="20"/>
        </w:rPr>
        <w:t>uygulanmaz:</w:t>
      </w:r>
    </w:p>
    <w:p>
      <w:pPr>
        <w:pStyle w:val="ListParagraph"/>
        <w:numPr>
          <w:ilvl w:val="0"/>
          <w:numId w:val="38"/>
        </w:numPr>
        <w:tabs>
          <w:tab w:pos="1027" w:val="left" w:leader="none"/>
        </w:tabs>
        <w:spacing w:line="379" w:lineRule="auto" w:before="133" w:after="0"/>
        <w:ind w:left="1022" w:right="1966" w:hanging="296"/>
        <w:jc w:val="left"/>
        <w:rPr>
          <w:sz w:val="20"/>
        </w:rPr>
      </w:pPr>
      <w:r>
        <w:rPr>
          <w:sz w:val="20"/>
        </w:rPr>
        <w:t>veri sahibi ve bir veri kontrolörü arasında bir sözleşme yapılması veya uygulanması için gerekli</w:t>
      </w:r>
      <w:r>
        <w:rPr>
          <w:spacing w:val="-3"/>
          <w:sz w:val="20"/>
        </w:rPr>
        <w:t> </w:t>
      </w:r>
      <w:r>
        <w:rPr>
          <w:sz w:val="20"/>
        </w:rPr>
        <w:t>olması;</w:t>
      </w:r>
    </w:p>
    <w:p>
      <w:pPr>
        <w:pStyle w:val="ListParagraph"/>
        <w:numPr>
          <w:ilvl w:val="0"/>
          <w:numId w:val="38"/>
        </w:numPr>
        <w:tabs>
          <w:tab w:pos="1027" w:val="left" w:leader="none"/>
        </w:tabs>
        <w:spacing w:line="240" w:lineRule="auto" w:before="168" w:after="0"/>
        <w:ind w:left="1022" w:right="0" w:hanging="296"/>
        <w:jc w:val="left"/>
        <w:rPr>
          <w:sz w:val="20"/>
        </w:rPr>
      </w:pPr>
      <w:r>
        <w:rPr>
          <w:sz w:val="20"/>
        </w:rPr>
        <w:t>kontrolörün tabi olduğu ve veri sahibinin hakları ile özgürlükleri ve meşru menfaatlerinin</w:t>
      </w:r>
      <w:r>
        <w:rPr>
          <w:spacing w:val="-22"/>
          <w:sz w:val="20"/>
        </w:rPr>
        <w:t> </w:t>
      </w:r>
      <w:r>
        <w:rPr>
          <w:sz w:val="20"/>
        </w:rPr>
        <w:t>güvence</w:t>
      </w:r>
    </w:p>
    <w:p>
      <w:pPr>
        <w:pStyle w:val="BodyText"/>
        <w:spacing w:line="276" w:lineRule="auto" w:before="34"/>
        <w:ind w:left="1022" w:right="830"/>
      </w:pPr>
      <w:r>
        <w:rPr/>
        <w:t>altına alınması amacıyla uygun tedbirlerin de belirtildiği Birlik veya üye devlet hukukun çerçevesinde izin verilmesi veya</w:t>
      </w:r>
    </w:p>
    <w:p>
      <w:pPr>
        <w:pStyle w:val="BodyText"/>
        <w:spacing w:before="6"/>
        <w:rPr>
          <w:sz w:val="23"/>
        </w:rPr>
      </w:pPr>
    </w:p>
    <w:p>
      <w:pPr>
        <w:pStyle w:val="ListParagraph"/>
        <w:numPr>
          <w:ilvl w:val="0"/>
          <w:numId w:val="38"/>
        </w:numPr>
        <w:tabs>
          <w:tab w:pos="1017" w:val="left" w:leader="none"/>
        </w:tabs>
        <w:spacing w:line="240" w:lineRule="auto" w:before="0" w:after="0"/>
        <w:ind w:left="1016" w:right="0" w:hanging="290"/>
        <w:jc w:val="left"/>
        <w:rPr>
          <w:sz w:val="20"/>
        </w:rPr>
      </w:pPr>
      <w:r>
        <w:rPr>
          <w:sz w:val="20"/>
        </w:rPr>
        <w:t>veri sahibinin açık rızasına</w:t>
      </w:r>
      <w:r>
        <w:rPr>
          <w:spacing w:val="-2"/>
          <w:sz w:val="20"/>
        </w:rPr>
        <w:t> </w:t>
      </w:r>
      <w:r>
        <w:rPr>
          <w:sz w:val="20"/>
        </w:rPr>
        <w:t>dayanması.</w:t>
      </w:r>
    </w:p>
    <w:p>
      <w:pPr>
        <w:pStyle w:val="BodyText"/>
        <w:spacing w:before="2"/>
        <w:rPr>
          <w:sz w:val="26"/>
        </w:rPr>
      </w:pPr>
    </w:p>
    <w:p>
      <w:pPr>
        <w:pStyle w:val="ListParagraph"/>
        <w:numPr>
          <w:ilvl w:val="0"/>
          <w:numId w:val="37"/>
        </w:numPr>
        <w:tabs>
          <w:tab w:pos="989" w:val="left" w:leader="none"/>
        </w:tabs>
        <w:spacing w:line="276" w:lineRule="auto" w:before="0" w:after="0"/>
        <w:ind w:left="726" w:right="699" w:firstLine="0"/>
        <w:jc w:val="both"/>
        <w:rPr>
          <w:sz w:val="20"/>
        </w:rPr>
      </w:pPr>
      <w:r>
        <w:rPr>
          <w:sz w:val="20"/>
        </w:rPr>
        <w:t>2. paragrafın (a) ve (c) bentlerinde atıfta bulunulan hallerde, veri kontrolörü en azından kontrolör açısından insan müdahalesinin sağlanması hakkı başta olmak üzere veri sahibinin kendi görüşünü ifade etme ve karara karşı çıkma yönündeki hakları ile özgürlükleri ve meşru menfaatlerinin güvence altına alınması amacı ile uygun tedbirler</w:t>
      </w:r>
      <w:r>
        <w:rPr>
          <w:spacing w:val="-7"/>
          <w:sz w:val="20"/>
        </w:rPr>
        <w:t> </w:t>
      </w:r>
      <w:r>
        <w:rPr>
          <w:sz w:val="20"/>
        </w:rPr>
        <w:t>uygular.</w:t>
      </w:r>
    </w:p>
    <w:p>
      <w:pPr>
        <w:pStyle w:val="BodyText"/>
        <w:rPr>
          <w:sz w:val="22"/>
        </w:rPr>
      </w:pPr>
    </w:p>
    <w:p>
      <w:pPr>
        <w:pStyle w:val="BodyText"/>
        <w:spacing w:before="4"/>
        <w:rPr>
          <w:sz w:val="24"/>
        </w:rPr>
      </w:pPr>
    </w:p>
    <w:p>
      <w:pPr>
        <w:pStyle w:val="ListParagraph"/>
        <w:numPr>
          <w:ilvl w:val="0"/>
          <w:numId w:val="37"/>
        </w:numPr>
        <w:tabs>
          <w:tab w:pos="1140" w:val="left" w:leader="none"/>
        </w:tabs>
        <w:spacing w:line="276" w:lineRule="auto" w:before="1" w:after="0"/>
        <w:ind w:left="726" w:right="697" w:firstLine="0"/>
        <w:jc w:val="both"/>
        <w:rPr>
          <w:sz w:val="20"/>
        </w:rPr>
      </w:pPr>
      <w:r>
        <w:rPr>
          <w:sz w:val="20"/>
        </w:rPr>
        <w:t>9(2) maddesinin (a) veya (g) bendinin geçerli olmaması ve veri sahibinin hakları ile özgürlükleri ve meşru menfaatlerinin güvence altına alınması amacı ile uygun tedbirlerin alınmamış olması</w:t>
      </w:r>
      <w:r>
        <w:rPr>
          <w:spacing w:val="50"/>
          <w:sz w:val="20"/>
        </w:rPr>
        <w:t> </w:t>
      </w:r>
      <w:r>
        <w:rPr>
          <w:sz w:val="20"/>
        </w:rPr>
        <w:t>durumunda,</w:t>
      </w:r>
    </w:p>
    <w:p>
      <w:pPr>
        <w:pStyle w:val="BodyText"/>
        <w:spacing w:line="276" w:lineRule="auto" w:before="1"/>
        <w:ind w:left="726" w:right="698"/>
        <w:jc w:val="both"/>
      </w:pPr>
      <w:r>
        <w:rPr/>
        <w:t>2. paragrafta atıfta bulunulan kararlar 9(1) maddesinde atıfta bulunulan özel kategorilerdeki kişisel verilere dayanamaz.</w:t>
      </w:r>
    </w:p>
    <w:p>
      <w:pPr>
        <w:pStyle w:val="BodyText"/>
        <w:spacing w:before="10"/>
        <w:rPr>
          <w:sz w:val="22"/>
        </w:rPr>
      </w:pPr>
    </w:p>
    <w:p>
      <w:pPr>
        <w:pStyle w:val="BodyText"/>
        <w:ind w:left="2207" w:right="2222"/>
        <w:jc w:val="center"/>
      </w:pPr>
      <w:r>
        <w:rPr/>
        <w:t>Kesim 5</w:t>
      </w:r>
    </w:p>
    <w:p>
      <w:pPr>
        <w:pStyle w:val="BodyText"/>
        <w:spacing w:before="4"/>
        <w:rPr>
          <w:sz w:val="26"/>
        </w:rPr>
      </w:pPr>
    </w:p>
    <w:p>
      <w:pPr>
        <w:pStyle w:val="Heading1"/>
        <w:ind w:right="2208"/>
      </w:pPr>
      <w:r>
        <w:rPr/>
        <w:t>Kısıtlamalar</w:t>
      </w:r>
    </w:p>
    <w:p>
      <w:pPr>
        <w:pStyle w:val="BodyText"/>
        <w:rPr>
          <w:b/>
          <w:sz w:val="22"/>
        </w:rPr>
      </w:pPr>
    </w:p>
    <w:p>
      <w:pPr>
        <w:pStyle w:val="BodyText"/>
        <w:spacing w:before="11"/>
        <w:rPr>
          <w:b/>
          <w:sz w:val="27"/>
        </w:rPr>
      </w:pPr>
    </w:p>
    <w:p>
      <w:pPr>
        <w:pStyle w:val="BodyText"/>
        <w:spacing w:line="278" w:lineRule="auto"/>
        <w:ind w:left="5035" w:right="5053"/>
        <w:jc w:val="center"/>
      </w:pPr>
      <w:r>
        <w:rPr/>
        <w:t>Madde 23</w:t>
      </w:r>
    </w:p>
    <w:p>
      <w:pPr>
        <w:spacing w:after="0" w:line="278" w:lineRule="auto"/>
        <w:jc w:val="cente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Heading1"/>
        <w:spacing w:before="64"/>
        <w:ind w:left="5004" w:right="0"/>
        <w:jc w:val="left"/>
      </w:pPr>
      <w:r>
        <w:rPr/>
        <w:t>Kısıtlamalar</w:t>
      </w:r>
    </w:p>
    <w:p>
      <w:pPr>
        <w:pStyle w:val="BodyText"/>
        <w:spacing w:before="4"/>
        <w:rPr>
          <w:b/>
          <w:sz w:val="26"/>
        </w:rPr>
      </w:pPr>
    </w:p>
    <w:p>
      <w:pPr>
        <w:pStyle w:val="BodyText"/>
        <w:spacing w:line="276" w:lineRule="auto"/>
        <w:ind w:left="726" w:right="695"/>
        <w:jc w:val="both"/>
      </w:pPr>
      <w:r>
        <w:rPr/>
        <w:t>1. Veri kontrolörü veya işleyicisinin tabi olduğu Birlik veya üye devlet hukuku bir yasama tedbiri vasıtasıyla; temel haklar ve özgürlüklerin özüne saygı gösterdiğinde ve demokratik bir toplumda aşağıdaki hususların güvence altına alınması açısından gerekli ve orantılı bir tedbir teşkil ettiğinde 12 ila</w:t>
      </w:r>
    </w:p>
    <w:p>
      <w:pPr>
        <w:pStyle w:val="BodyText"/>
        <w:spacing w:line="276" w:lineRule="auto"/>
        <w:ind w:left="726" w:right="700"/>
        <w:jc w:val="both"/>
      </w:pPr>
      <w:r>
        <w:rPr/>
        <w:t>22. maddeler ve 34. maddede öngörülen haklar ve yükümlülüklerin kapsamını, ayrıca 5. madde hükümleri 12 ila 22. maddelerde hükme bağlanan haklar ve yükümlülüklere uygun olduğu sürece 5. maddenin kapsamını, kısıtlayabilir:</w:t>
      </w:r>
    </w:p>
    <w:p>
      <w:pPr>
        <w:pStyle w:val="BodyText"/>
        <w:spacing w:before="10"/>
        <w:rPr>
          <w:sz w:val="22"/>
        </w:rPr>
      </w:pPr>
    </w:p>
    <w:p>
      <w:pPr>
        <w:pStyle w:val="ListParagraph"/>
        <w:numPr>
          <w:ilvl w:val="0"/>
          <w:numId w:val="39"/>
        </w:numPr>
        <w:tabs>
          <w:tab w:pos="1025" w:val="left" w:leader="none"/>
        </w:tabs>
        <w:spacing w:line="240" w:lineRule="auto" w:before="1" w:after="0"/>
        <w:ind w:left="1024" w:right="0" w:hanging="298"/>
        <w:jc w:val="left"/>
        <w:rPr>
          <w:sz w:val="20"/>
        </w:rPr>
      </w:pPr>
      <w:r>
        <w:rPr>
          <w:sz w:val="20"/>
        </w:rPr>
        <w:t>milli</w:t>
      </w:r>
      <w:r>
        <w:rPr>
          <w:spacing w:val="-1"/>
          <w:sz w:val="20"/>
        </w:rPr>
        <w:t> </w:t>
      </w:r>
      <w:r>
        <w:rPr>
          <w:sz w:val="20"/>
        </w:rPr>
        <w:t>güvenlik;</w:t>
      </w:r>
    </w:p>
    <w:p>
      <w:pPr>
        <w:pStyle w:val="ListParagraph"/>
        <w:numPr>
          <w:ilvl w:val="0"/>
          <w:numId w:val="39"/>
        </w:numPr>
        <w:tabs>
          <w:tab w:pos="1027" w:val="left" w:leader="none"/>
        </w:tabs>
        <w:spacing w:line="240" w:lineRule="auto" w:before="34" w:after="0"/>
        <w:ind w:left="1026" w:right="0" w:hanging="300"/>
        <w:jc w:val="left"/>
        <w:rPr>
          <w:sz w:val="20"/>
        </w:rPr>
      </w:pPr>
      <w:r>
        <w:rPr>
          <w:sz w:val="20"/>
        </w:rPr>
        <w:t>savunma;</w:t>
      </w:r>
    </w:p>
    <w:p>
      <w:pPr>
        <w:pStyle w:val="ListParagraph"/>
        <w:numPr>
          <w:ilvl w:val="0"/>
          <w:numId w:val="39"/>
        </w:numPr>
        <w:tabs>
          <w:tab w:pos="1015" w:val="left" w:leader="none"/>
        </w:tabs>
        <w:spacing w:line="240" w:lineRule="auto" w:before="55" w:after="0"/>
        <w:ind w:left="1014" w:right="0" w:hanging="288"/>
        <w:jc w:val="left"/>
        <w:rPr>
          <w:sz w:val="20"/>
        </w:rPr>
      </w:pPr>
      <w:r>
        <w:rPr>
          <w:sz w:val="20"/>
        </w:rPr>
        <w:t>kamu</w:t>
      </w:r>
      <w:r>
        <w:rPr>
          <w:spacing w:val="-1"/>
          <w:sz w:val="20"/>
        </w:rPr>
        <w:t> </w:t>
      </w:r>
      <w:r>
        <w:rPr>
          <w:sz w:val="20"/>
        </w:rPr>
        <w:t>güvenliği;</w:t>
      </w:r>
    </w:p>
    <w:p>
      <w:pPr>
        <w:pStyle w:val="BodyText"/>
        <w:spacing w:before="4"/>
        <w:rPr>
          <w:sz w:val="30"/>
        </w:rPr>
      </w:pPr>
    </w:p>
    <w:p>
      <w:pPr>
        <w:pStyle w:val="ListParagraph"/>
        <w:numPr>
          <w:ilvl w:val="0"/>
          <w:numId w:val="39"/>
        </w:numPr>
        <w:tabs>
          <w:tab w:pos="1048" w:val="left" w:leader="none"/>
        </w:tabs>
        <w:spacing w:line="276" w:lineRule="auto" w:before="0" w:after="0"/>
        <w:ind w:left="1024" w:right="689" w:hanging="298"/>
        <w:jc w:val="both"/>
        <w:rPr>
          <w:sz w:val="20"/>
        </w:rPr>
      </w:pPr>
      <w:r>
        <w:rPr>
          <w:sz w:val="20"/>
        </w:rPr>
        <w:t>kamu güvenliğine yönelik tehditlere karşı güvence sağlanması ve bu tehditlerin önlenmesi de dâhil olmak üzere suçların önlenmesi, soruşturulması, tespiti veya kovuşturulması ya da cezaların infaz edilmesi;</w:t>
      </w:r>
    </w:p>
    <w:p>
      <w:pPr>
        <w:pStyle w:val="BodyText"/>
        <w:spacing w:before="10"/>
        <w:rPr>
          <w:sz w:val="23"/>
        </w:rPr>
      </w:pPr>
    </w:p>
    <w:p>
      <w:pPr>
        <w:pStyle w:val="ListParagraph"/>
        <w:numPr>
          <w:ilvl w:val="0"/>
          <w:numId w:val="39"/>
        </w:numPr>
        <w:tabs>
          <w:tab w:pos="1068" w:val="left" w:leader="none"/>
        </w:tabs>
        <w:spacing w:line="276" w:lineRule="auto" w:before="0" w:after="0"/>
        <w:ind w:left="1024" w:right="700" w:hanging="298"/>
        <w:jc w:val="both"/>
        <w:rPr>
          <w:sz w:val="20"/>
        </w:rPr>
      </w:pPr>
      <w:r>
        <w:rPr>
          <w:sz w:val="20"/>
        </w:rPr>
        <w:t>başta Birliğin veya bir üye devletin önemli bir ekonomik veya mali çıkarına olmak üzere parasal hususlar ile bütçe ve vergilendirmeye ilişkin hususlar, halk sağlığı ve sosyal güvenlik de dahil, Birlik ya da bir üye devletin genel kamu yararına yönelik diğer önemli</w:t>
      </w:r>
      <w:r>
        <w:rPr>
          <w:spacing w:val="-4"/>
          <w:sz w:val="20"/>
        </w:rPr>
        <w:t> </w:t>
      </w:r>
      <w:r>
        <w:rPr>
          <w:sz w:val="20"/>
        </w:rPr>
        <w:t>hedefler;</w:t>
      </w:r>
    </w:p>
    <w:p>
      <w:pPr>
        <w:pStyle w:val="BodyText"/>
        <w:spacing w:before="8"/>
        <w:rPr>
          <w:sz w:val="23"/>
        </w:rPr>
      </w:pPr>
    </w:p>
    <w:p>
      <w:pPr>
        <w:pStyle w:val="ListParagraph"/>
        <w:numPr>
          <w:ilvl w:val="0"/>
          <w:numId w:val="39"/>
        </w:numPr>
        <w:tabs>
          <w:tab w:pos="974" w:val="left" w:leader="none"/>
        </w:tabs>
        <w:spacing w:line="240" w:lineRule="auto" w:before="0" w:after="0"/>
        <w:ind w:left="973" w:right="0" w:hanging="247"/>
        <w:jc w:val="left"/>
        <w:rPr>
          <w:sz w:val="20"/>
        </w:rPr>
      </w:pPr>
      <w:r>
        <w:rPr>
          <w:sz w:val="20"/>
        </w:rPr>
        <w:t>yargı bağımsızlığının ve adli süreçlerin</w:t>
      </w:r>
      <w:r>
        <w:rPr>
          <w:spacing w:val="-3"/>
          <w:sz w:val="20"/>
        </w:rPr>
        <w:t> </w:t>
      </w:r>
      <w:r>
        <w:rPr>
          <w:sz w:val="20"/>
        </w:rPr>
        <w:t>korunması;</w:t>
      </w:r>
    </w:p>
    <w:p>
      <w:pPr>
        <w:pStyle w:val="ListParagraph"/>
        <w:numPr>
          <w:ilvl w:val="0"/>
          <w:numId w:val="39"/>
        </w:numPr>
        <w:tabs>
          <w:tab w:pos="1027" w:val="left" w:leader="none"/>
        </w:tabs>
        <w:spacing w:line="350" w:lineRule="auto" w:before="104" w:after="0"/>
        <w:ind w:left="1024" w:right="1566" w:hanging="298"/>
        <w:jc w:val="left"/>
        <w:rPr>
          <w:sz w:val="20"/>
        </w:rPr>
      </w:pPr>
      <w:r>
        <w:rPr>
          <w:sz w:val="20"/>
        </w:rPr>
        <w:t>düzenlenmiş mesleklere ilişkin etik kurallarının ihlalinin önlenmesi, soruşturulması, tespiti ve kovuşturulması;</w:t>
      </w:r>
    </w:p>
    <w:p>
      <w:pPr>
        <w:pStyle w:val="ListParagraph"/>
        <w:numPr>
          <w:ilvl w:val="0"/>
          <w:numId w:val="39"/>
        </w:numPr>
        <w:tabs>
          <w:tab w:pos="1073" w:val="left" w:leader="none"/>
        </w:tabs>
        <w:spacing w:line="276" w:lineRule="auto" w:before="197" w:after="0"/>
        <w:ind w:left="1024" w:right="699" w:hanging="298"/>
        <w:jc w:val="left"/>
        <w:rPr>
          <w:sz w:val="20"/>
        </w:rPr>
      </w:pPr>
      <w:r>
        <w:rPr>
          <w:sz w:val="20"/>
        </w:rPr>
        <w:t>nadiren olsa dahi, (a) ila (e) ve (g) bentlerinde belirtilen durumlarda resmi yetkinin kullanımı ile bağlantılı bir izleme, denetleme veya düzenleme</w:t>
      </w:r>
      <w:r>
        <w:rPr>
          <w:spacing w:val="-3"/>
          <w:sz w:val="20"/>
        </w:rPr>
        <w:t> </w:t>
      </w:r>
      <w:r>
        <w:rPr>
          <w:sz w:val="20"/>
        </w:rPr>
        <w:t>işlevi;</w:t>
      </w:r>
    </w:p>
    <w:p>
      <w:pPr>
        <w:pStyle w:val="BodyText"/>
        <w:spacing w:before="8"/>
        <w:rPr>
          <w:sz w:val="23"/>
        </w:rPr>
      </w:pPr>
    </w:p>
    <w:p>
      <w:pPr>
        <w:pStyle w:val="ListParagraph"/>
        <w:numPr>
          <w:ilvl w:val="0"/>
          <w:numId w:val="39"/>
        </w:numPr>
        <w:tabs>
          <w:tab w:pos="960" w:val="left" w:leader="none"/>
        </w:tabs>
        <w:spacing w:line="276" w:lineRule="auto" w:before="1" w:after="0"/>
        <w:ind w:left="726" w:right="3129" w:firstLine="0"/>
        <w:jc w:val="left"/>
        <w:rPr>
          <w:sz w:val="20"/>
        </w:rPr>
      </w:pPr>
      <w:r>
        <w:rPr>
          <w:sz w:val="20"/>
        </w:rPr>
        <w:t>veri sahibinin veya başkalarının haklarının ve özgürlüklerinin korunması. (j) medeni hukuktan kaynaklanan taleplere ilişkin kararların</w:t>
      </w:r>
      <w:r>
        <w:rPr>
          <w:spacing w:val="-12"/>
          <w:sz w:val="20"/>
        </w:rPr>
        <w:t> </w:t>
      </w:r>
      <w:r>
        <w:rPr>
          <w:sz w:val="20"/>
        </w:rPr>
        <w:t>icrası.</w:t>
      </w:r>
    </w:p>
    <w:p>
      <w:pPr>
        <w:pStyle w:val="BodyText"/>
        <w:spacing w:before="8"/>
        <w:rPr>
          <w:sz w:val="23"/>
        </w:rPr>
      </w:pPr>
    </w:p>
    <w:p>
      <w:pPr>
        <w:pStyle w:val="BodyText"/>
        <w:spacing w:line="276" w:lineRule="auto"/>
        <w:ind w:left="726" w:right="1147"/>
      </w:pPr>
      <w:r>
        <w:rPr/>
        <w:t>2. Özellikle, 1. paragrafta belirtilen herhangi bir yasama tedbiri, ilgili olduğunda, aşağıdaki hususlara ilişkin hükümler içerir:</w:t>
      </w:r>
    </w:p>
    <w:p>
      <w:pPr>
        <w:pStyle w:val="BodyText"/>
        <w:spacing w:before="8"/>
        <w:rPr>
          <w:sz w:val="23"/>
        </w:rPr>
      </w:pPr>
    </w:p>
    <w:p>
      <w:pPr>
        <w:pStyle w:val="BodyText"/>
        <w:spacing w:line="276" w:lineRule="auto"/>
        <w:ind w:left="726" w:right="5228"/>
      </w:pPr>
      <w:r>
        <w:rPr/>
        <w:t>(a) işlemenin veya işleme kategorilerinin amaçları; (b) kişisel veri kategorileri;</w:t>
      </w:r>
    </w:p>
    <w:p>
      <w:pPr>
        <w:pStyle w:val="ListParagraph"/>
        <w:numPr>
          <w:ilvl w:val="0"/>
          <w:numId w:val="40"/>
        </w:numPr>
        <w:tabs>
          <w:tab w:pos="1017" w:val="left" w:leader="none"/>
        </w:tabs>
        <w:spacing w:line="240" w:lineRule="auto" w:before="14" w:after="0"/>
        <w:ind w:left="726" w:right="0" w:firstLine="0"/>
        <w:jc w:val="left"/>
        <w:rPr>
          <w:sz w:val="20"/>
        </w:rPr>
      </w:pPr>
      <w:r>
        <w:rPr>
          <w:sz w:val="20"/>
        </w:rPr>
        <w:t>getirilen kısıtlamaların</w:t>
      </w:r>
      <w:r>
        <w:rPr>
          <w:spacing w:val="-3"/>
          <w:sz w:val="20"/>
        </w:rPr>
        <w:t> </w:t>
      </w:r>
      <w:r>
        <w:rPr>
          <w:sz w:val="20"/>
        </w:rPr>
        <w:t>kapsamı;</w:t>
      </w:r>
    </w:p>
    <w:p>
      <w:pPr>
        <w:pStyle w:val="ListParagraph"/>
        <w:numPr>
          <w:ilvl w:val="0"/>
          <w:numId w:val="40"/>
        </w:numPr>
        <w:tabs>
          <w:tab w:pos="1027" w:val="left" w:leader="none"/>
        </w:tabs>
        <w:spacing w:line="278" w:lineRule="auto" w:before="106" w:after="0"/>
        <w:ind w:left="726" w:right="790" w:firstLine="0"/>
        <w:jc w:val="left"/>
        <w:rPr>
          <w:sz w:val="20"/>
        </w:rPr>
      </w:pPr>
      <w:r>
        <w:rPr>
          <w:sz w:val="20"/>
        </w:rPr>
        <w:t>kötüye</w:t>
      </w:r>
      <w:r>
        <w:rPr>
          <w:spacing w:val="-7"/>
          <w:sz w:val="20"/>
        </w:rPr>
        <w:t> </w:t>
      </w:r>
      <w:r>
        <w:rPr>
          <w:sz w:val="20"/>
        </w:rPr>
        <w:t>kullanım</w:t>
      </w:r>
      <w:r>
        <w:rPr>
          <w:spacing w:val="-3"/>
          <w:sz w:val="20"/>
        </w:rPr>
        <w:t> </w:t>
      </w:r>
      <w:r>
        <w:rPr>
          <w:sz w:val="20"/>
        </w:rPr>
        <w:t>veya</w:t>
      </w:r>
      <w:r>
        <w:rPr>
          <w:spacing w:val="-4"/>
          <w:sz w:val="20"/>
        </w:rPr>
        <w:t> </w:t>
      </w:r>
      <w:r>
        <w:rPr>
          <w:sz w:val="20"/>
        </w:rPr>
        <w:t>yasa</w:t>
      </w:r>
      <w:r>
        <w:rPr>
          <w:spacing w:val="-7"/>
          <w:sz w:val="20"/>
        </w:rPr>
        <w:t> </w:t>
      </w:r>
      <w:r>
        <w:rPr>
          <w:sz w:val="20"/>
        </w:rPr>
        <w:t>dışı</w:t>
      </w:r>
      <w:r>
        <w:rPr>
          <w:spacing w:val="-5"/>
          <w:sz w:val="20"/>
        </w:rPr>
        <w:t> </w:t>
      </w:r>
      <w:r>
        <w:rPr>
          <w:sz w:val="20"/>
        </w:rPr>
        <w:t>yollarla</w:t>
      </w:r>
      <w:r>
        <w:rPr>
          <w:spacing w:val="-7"/>
          <w:sz w:val="20"/>
        </w:rPr>
        <w:t> </w:t>
      </w:r>
      <w:r>
        <w:rPr>
          <w:sz w:val="20"/>
        </w:rPr>
        <w:t>erişim</w:t>
      </w:r>
      <w:r>
        <w:rPr>
          <w:spacing w:val="-4"/>
          <w:sz w:val="20"/>
        </w:rPr>
        <w:t> </w:t>
      </w:r>
      <w:r>
        <w:rPr>
          <w:sz w:val="20"/>
        </w:rPr>
        <w:t>veya</w:t>
      </w:r>
      <w:r>
        <w:rPr>
          <w:spacing w:val="-5"/>
          <w:sz w:val="20"/>
        </w:rPr>
        <w:t> </w:t>
      </w:r>
      <w:r>
        <w:rPr>
          <w:sz w:val="20"/>
        </w:rPr>
        <w:t>aktarımın</w:t>
      </w:r>
      <w:r>
        <w:rPr>
          <w:spacing w:val="-7"/>
          <w:sz w:val="20"/>
        </w:rPr>
        <w:t> </w:t>
      </w:r>
      <w:r>
        <w:rPr>
          <w:sz w:val="20"/>
        </w:rPr>
        <w:t>engellenmesine</w:t>
      </w:r>
      <w:r>
        <w:rPr>
          <w:spacing w:val="-6"/>
          <w:sz w:val="20"/>
        </w:rPr>
        <w:t> </w:t>
      </w:r>
      <w:r>
        <w:rPr>
          <w:sz w:val="20"/>
        </w:rPr>
        <w:t>yönelik</w:t>
      </w:r>
      <w:r>
        <w:rPr>
          <w:spacing w:val="-4"/>
          <w:sz w:val="20"/>
        </w:rPr>
        <w:t> </w:t>
      </w:r>
      <w:r>
        <w:rPr>
          <w:sz w:val="20"/>
        </w:rPr>
        <w:t>güvenceler;</w:t>
      </w:r>
      <w:r>
        <w:rPr>
          <w:spacing w:val="-7"/>
          <w:sz w:val="20"/>
        </w:rPr>
        <w:t> </w:t>
      </w:r>
      <w:r>
        <w:rPr>
          <w:sz w:val="20"/>
        </w:rPr>
        <w:t>(e) kontrolör veya kontrolör kategorilerinin</w:t>
      </w:r>
      <w:r>
        <w:rPr>
          <w:spacing w:val="-4"/>
          <w:sz w:val="20"/>
        </w:rPr>
        <w:t> </w:t>
      </w:r>
      <w:r>
        <w:rPr>
          <w:sz w:val="20"/>
        </w:rPr>
        <w:t>belirlenmesi;</w:t>
      </w:r>
    </w:p>
    <w:p>
      <w:pPr>
        <w:pStyle w:val="BodyText"/>
        <w:spacing w:before="3"/>
        <w:rPr>
          <w:sz w:val="23"/>
        </w:rPr>
      </w:pPr>
    </w:p>
    <w:p>
      <w:pPr>
        <w:pStyle w:val="ListParagraph"/>
        <w:numPr>
          <w:ilvl w:val="0"/>
          <w:numId w:val="41"/>
        </w:numPr>
        <w:tabs>
          <w:tab w:pos="978" w:val="left" w:leader="none"/>
        </w:tabs>
        <w:spacing w:line="276" w:lineRule="auto" w:before="1" w:after="0"/>
        <w:ind w:left="1024" w:right="696" w:hanging="298"/>
        <w:jc w:val="left"/>
        <w:rPr>
          <w:sz w:val="20"/>
        </w:rPr>
      </w:pPr>
      <w:r>
        <w:rPr>
          <w:sz w:val="20"/>
        </w:rPr>
        <w:t>işleme veya işleme kategorilerinin mahiyeti, kapsamı ve amaçları dikkate alınarak saklama süreleri ve uygulanabilir</w:t>
      </w:r>
      <w:r>
        <w:rPr>
          <w:spacing w:val="-1"/>
          <w:sz w:val="20"/>
        </w:rPr>
        <w:t> </w:t>
      </w:r>
      <w:r>
        <w:rPr>
          <w:sz w:val="20"/>
        </w:rPr>
        <w:t>güvenceler;</w:t>
      </w:r>
    </w:p>
    <w:p>
      <w:pPr>
        <w:pStyle w:val="BodyText"/>
        <w:spacing w:before="8"/>
        <w:rPr>
          <w:sz w:val="23"/>
        </w:rPr>
      </w:pPr>
    </w:p>
    <w:p>
      <w:pPr>
        <w:pStyle w:val="ListParagraph"/>
        <w:numPr>
          <w:ilvl w:val="0"/>
          <w:numId w:val="41"/>
        </w:numPr>
        <w:tabs>
          <w:tab w:pos="1027" w:val="left" w:leader="none"/>
        </w:tabs>
        <w:spacing w:line="240" w:lineRule="auto" w:before="0" w:after="0"/>
        <w:ind w:left="1026" w:right="0" w:hanging="300"/>
        <w:jc w:val="left"/>
        <w:rPr>
          <w:sz w:val="20"/>
        </w:rPr>
      </w:pPr>
      <w:r>
        <w:rPr>
          <w:sz w:val="20"/>
        </w:rPr>
        <w:t>veri sahiplerinin hakları ve özgürlüklerine yönelik riskler</w:t>
      </w:r>
      <w:r>
        <w:rPr>
          <w:spacing w:val="0"/>
          <w:sz w:val="20"/>
        </w:rPr>
        <w:t> </w:t>
      </w:r>
      <w:r>
        <w:rPr>
          <w:sz w:val="20"/>
        </w:rPr>
        <w:t>ve</w:t>
      </w:r>
    </w:p>
    <w:p>
      <w:pPr>
        <w:pStyle w:val="BodyText"/>
        <w:spacing w:before="3"/>
        <w:rPr>
          <w:sz w:val="26"/>
        </w:rPr>
      </w:pPr>
    </w:p>
    <w:p>
      <w:pPr>
        <w:pStyle w:val="ListParagraph"/>
        <w:numPr>
          <w:ilvl w:val="0"/>
          <w:numId w:val="41"/>
        </w:numPr>
        <w:tabs>
          <w:tab w:pos="1041" w:val="left" w:leader="none"/>
        </w:tabs>
        <w:spacing w:line="276" w:lineRule="auto" w:before="1" w:after="0"/>
        <w:ind w:left="1024" w:right="698" w:hanging="298"/>
        <w:jc w:val="left"/>
        <w:rPr>
          <w:sz w:val="20"/>
        </w:rPr>
      </w:pPr>
      <w:r>
        <w:rPr>
          <w:sz w:val="20"/>
        </w:rPr>
        <w:t>kısıtlama amacına halel getirmemesi durumunda, veri sahiplerinin kısıtlamayla ilgili bilgi sahibi olma hakkı.</w:t>
      </w:r>
    </w:p>
    <w:p>
      <w:pPr>
        <w:pStyle w:val="BodyText"/>
        <w:spacing w:before="6"/>
        <w:rPr>
          <w:sz w:val="23"/>
        </w:rPr>
      </w:pPr>
    </w:p>
    <w:p>
      <w:pPr>
        <w:pStyle w:val="BodyText"/>
        <w:ind w:left="2207" w:right="2226"/>
        <w:jc w:val="center"/>
      </w:pPr>
      <w:r>
        <w:rPr/>
        <w:t>BÖLÜM IV</w:t>
      </w:r>
    </w:p>
    <w:p>
      <w:pPr>
        <w:pStyle w:val="BodyText"/>
        <w:spacing w:before="10"/>
        <w:rPr>
          <w:sz w:val="25"/>
        </w:rPr>
      </w:pPr>
    </w:p>
    <w:p>
      <w:pPr>
        <w:pStyle w:val="Heading1"/>
      </w:pPr>
      <w:r>
        <w:rPr/>
        <w:t>Kontrolör ve işleyici</w:t>
      </w:r>
    </w:p>
    <w:p>
      <w:pPr>
        <w:pStyle w:val="BodyText"/>
        <w:spacing w:before="9"/>
        <w:rPr>
          <w:b/>
          <w:sz w:val="26"/>
        </w:rPr>
      </w:pPr>
    </w:p>
    <w:p>
      <w:pPr>
        <w:pStyle w:val="BodyText"/>
        <w:ind w:left="2207" w:right="2222"/>
        <w:jc w:val="center"/>
      </w:pPr>
      <w:r>
        <w:rPr/>
        <w:t>Kesim 1</w:t>
      </w:r>
    </w:p>
    <w:p>
      <w:pPr>
        <w:pStyle w:val="BodyText"/>
        <w:spacing w:before="8"/>
        <w:rPr>
          <w:sz w:val="26"/>
        </w:rPr>
      </w:pPr>
    </w:p>
    <w:p>
      <w:pPr>
        <w:pStyle w:val="Heading1"/>
        <w:spacing w:before="1"/>
        <w:ind w:right="2207"/>
      </w:pPr>
      <w:r>
        <w:rPr/>
        <w:t>Genel yükümlülükler</w:t>
      </w:r>
    </w:p>
    <w:p>
      <w:pPr>
        <w:spacing w:after="0"/>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line="276" w:lineRule="auto" w:before="66"/>
        <w:ind w:left="5035" w:right="5053"/>
        <w:jc w:val="center"/>
      </w:pPr>
      <w:r>
        <w:rPr/>
        <w:t>Madde 24</w:t>
      </w:r>
    </w:p>
    <w:p>
      <w:pPr>
        <w:pStyle w:val="BodyText"/>
        <w:spacing w:before="11"/>
        <w:rPr>
          <w:sz w:val="22"/>
        </w:rPr>
      </w:pPr>
    </w:p>
    <w:p>
      <w:pPr>
        <w:pStyle w:val="Heading1"/>
        <w:ind w:left="2201"/>
      </w:pPr>
      <w:r>
        <w:rPr/>
        <w:t>Kontrolörün sorumluluğu</w:t>
      </w:r>
    </w:p>
    <w:p>
      <w:pPr>
        <w:pStyle w:val="BodyText"/>
        <w:spacing w:before="1"/>
        <w:rPr>
          <w:b/>
          <w:sz w:val="26"/>
        </w:rPr>
      </w:pPr>
    </w:p>
    <w:p>
      <w:pPr>
        <w:pStyle w:val="ListParagraph"/>
        <w:numPr>
          <w:ilvl w:val="0"/>
          <w:numId w:val="42"/>
        </w:numPr>
        <w:tabs>
          <w:tab w:pos="1540" w:val="left" w:leader="none"/>
          <w:tab w:pos="1541" w:val="left" w:leader="none"/>
        </w:tabs>
        <w:spacing w:line="276" w:lineRule="auto" w:before="0" w:after="0"/>
        <w:ind w:left="666" w:right="687" w:firstLine="60"/>
        <w:jc w:val="both"/>
        <w:rPr>
          <w:sz w:val="20"/>
        </w:rPr>
      </w:pPr>
      <w:r>
        <w:rPr>
          <w:sz w:val="20"/>
        </w:rPr>
        <w:t>Kontrolör, işleme faaliyetinin mahiyeti, kapsamı, bağlamı ve amaçlarının yanı sıra gerçek kişilerin hakları ve özgürlükleri açısından çeşitli olasılıklar ve ciddiyetlere sahip riskleri dikkate alarak, işleme faaliyetinin bu Tüzük uyarınca gerçekleştirilmesini sağlamak ve bu şekilde gerçekleştirildiğini gösterebilmek için uygun teknik ve düzenlemeye ilişkin tedbirler uygular. Bu tedbirler gözden geçirilir ve, gerektiğinde, güncellenir.</w:t>
      </w:r>
    </w:p>
    <w:p>
      <w:pPr>
        <w:pStyle w:val="BodyText"/>
        <w:rPr>
          <w:sz w:val="22"/>
        </w:rPr>
      </w:pPr>
    </w:p>
    <w:p>
      <w:pPr>
        <w:pStyle w:val="BodyText"/>
        <w:spacing w:before="4"/>
        <w:rPr>
          <w:sz w:val="24"/>
        </w:rPr>
      </w:pPr>
    </w:p>
    <w:p>
      <w:pPr>
        <w:pStyle w:val="ListParagraph"/>
        <w:numPr>
          <w:ilvl w:val="0"/>
          <w:numId w:val="42"/>
        </w:numPr>
        <w:tabs>
          <w:tab w:pos="948" w:val="left" w:leader="none"/>
        </w:tabs>
        <w:spacing w:line="278" w:lineRule="auto" w:before="0" w:after="0"/>
        <w:ind w:left="726" w:right="767" w:firstLine="0"/>
        <w:jc w:val="both"/>
        <w:rPr>
          <w:sz w:val="20"/>
        </w:rPr>
      </w:pPr>
      <w:r>
        <w:rPr>
          <w:sz w:val="20"/>
        </w:rPr>
        <w:t>İşleme faaliyetleri ile ilgili olarak ölçülü olması halinde, 1. paragrafta atıfta bulunulan tedbirler kontrolör tarafından uygun veri koruma politikalarının uygulanmasını</w:t>
      </w:r>
      <w:r>
        <w:rPr>
          <w:spacing w:val="-9"/>
          <w:sz w:val="20"/>
        </w:rPr>
        <w:t> </w:t>
      </w:r>
      <w:r>
        <w:rPr>
          <w:sz w:val="20"/>
        </w:rPr>
        <w:t>kapsar.</w:t>
      </w:r>
    </w:p>
    <w:p>
      <w:pPr>
        <w:pStyle w:val="BodyText"/>
        <w:rPr>
          <w:sz w:val="22"/>
        </w:rPr>
      </w:pPr>
    </w:p>
    <w:p>
      <w:pPr>
        <w:pStyle w:val="BodyText"/>
        <w:spacing w:before="10"/>
        <w:rPr>
          <w:sz w:val="23"/>
        </w:rPr>
      </w:pPr>
    </w:p>
    <w:p>
      <w:pPr>
        <w:pStyle w:val="ListParagraph"/>
        <w:numPr>
          <w:ilvl w:val="0"/>
          <w:numId w:val="42"/>
        </w:numPr>
        <w:tabs>
          <w:tab w:pos="994" w:val="left" w:leader="none"/>
        </w:tabs>
        <w:spacing w:line="276" w:lineRule="auto" w:before="0" w:after="0"/>
        <w:ind w:left="726" w:right="696" w:firstLine="0"/>
        <w:jc w:val="both"/>
        <w:rPr>
          <w:sz w:val="20"/>
        </w:rPr>
      </w:pPr>
      <w:r>
        <w:rPr>
          <w:sz w:val="20"/>
        </w:rPr>
        <w:t>40. maddede atıfta bulunulan onaylı davranış kuralları veya 42. maddede atıfta bulunulan onaylı belgelendirme mekanizmalarına uygun hareket edilmesi kontrolörün yükümlülüklerine uygunluğun gösterilmesine ilişkin bir unsur olarak</w:t>
      </w:r>
      <w:r>
        <w:rPr>
          <w:spacing w:val="-3"/>
          <w:sz w:val="20"/>
        </w:rPr>
        <w:t> </w:t>
      </w:r>
      <w:r>
        <w:rPr>
          <w:sz w:val="20"/>
        </w:rPr>
        <w:t>kullanılabilir.</w:t>
      </w:r>
    </w:p>
    <w:p>
      <w:pPr>
        <w:pStyle w:val="BodyText"/>
        <w:rPr>
          <w:sz w:val="26"/>
        </w:rPr>
      </w:pPr>
    </w:p>
    <w:p>
      <w:pPr>
        <w:pStyle w:val="BodyText"/>
        <w:spacing w:line="278" w:lineRule="auto"/>
        <w:ind w:left="5035" w:right="5053"/>
        <w:jc w:val="center"/>
      </w:pPr>
      <w:r>
        <w:rPr/>
        <w:t>Madde 25</w:t>
      </w:r>
    </w:p>
    <w:p>
      <w:pPr>
        <w:pStyle w:val="BodyText"/>
        <w:rPr>
          <w:sz w:val="22"/>
        </w:rPr>
      </w:pPr>
    </w:p>
    <w:p>
      <w:pPr>
        <w:pStyle w:val="BodyText"/>
        <w:spacing w:before="1"/>
        <w:rPr>
          <w:sz w:val="24"/>
        </w:rPr>
      </w:pPr>
    </w:p>
    <w:p>
      <w:pPr>
        <w:pStyle w:val="Heading1"/>
        <w:ind w:right="2226"/>
      </w:pPr>
      <w:r>
        <w:rPr/>
        <w:t>Özel ve olağan veri koruması</w:t>
      </w:r>
    </w:p>
    <w:p>
      <w:pPr>
        <w:pStyle w:val="BodyText"/>
        <w:rPr>
          <w:b/>
          <w:sz w:val="22"/>
        </w:rPr>
      </w:pPr>
    </w:p>
    <w:p>
      <w:pPr>
        <w:pStyle w:val="BodyText"/>
        <w:spacing w:before="1"/>
        <w:rPr>
          <w:b/>
          <w:sz w:val="28"/>
        </w:rPr>
      </w:pPr>
    </w:p>
    <w:p>
      <w:pPr>
        <w:pStyle w:val="ListParagraph"/>
        <w:numPr>
          <w:ilvl w:val="0"/>
          <w:numId w:val="43"/>
        </w:numPr>
        <w:tabs>
          <w:tab w:pos="1003" w:val="left" w:leader="none"/>
        </w:tabs>
        <w:spacing w:line="276" w:lineRule="auto" w:before="1" w:after="0"/>
        <w:ind w:left="726" w:right="690" w:firstLine="0"/>
        <w:jc w:val="both"/>
        <w:rPr>
          <w:sz w:val="20"/>
        </w:rPr>
      </w:pPr>
      <w:r>
        <w:rPr>
          <w:sz w:val="20"/>
        </w:rPr>
        <w:t>Kontrolör, son teknoloji, uygulama maliyeti ve işleme faaliyetinin mahiyeti, kapsamı, bağlamı ve amaçlarının yanı sıra işleme faaliyetinin gerçek kişilerin hakları ve özgürlükleri açısından teşkil ettiği çeşitli olasılıklar ve ciddiyetlere sahip riskleri dikkate alarak, hem işleme yönteminin belirlenmesi esnasında hem de işleme faaliyeti esnasında, verilerin en alt düzeye indirilmesi gibi veri koruma ilkelerinin etkili bir şekilde uygulanması ve bu Tüzük’ün gerekliliklerinin yerine getirilmesine yönelik olarak gerekli güvencelerin entegre edilmesi amacı ile tasarlanan takma ad kullanımı gibi uygun teknik ve düzenlemeye ilişkin tedbirler uygular ve veri sahiplerinin haklarını</w:t>
      </w:r>
      <w:r>
        <w:rPr>
          <w:spacing w:val="-10"/>
          <w:sz w:val="20"/>
        </w:rPr>
        <w:t> </w:t>
      </w:r>
      <w:r>
        <w:rPr>
          <w:sz w:val="20"/>
        </w:rPr>
        <w:t>korur.</w:t>
      </w:r>
    </w:p>
    <w:p>
      <w:pPr>
        <w:pStyle w:val="BodyText"/>
        <w:rPr>
          <w:sz w:val="22"/>
        </w:rPr>
      </w:pPr>
    </w:p>
    <w:p>
      <w:pPr>
        <w:pStyle w:val="BodyText"/>
        <w:spacing w:before="5"/>
        <w:rPr>
          <w:sz w:val="24"/>
        </w:rPr>
      </w:pPr>
    </w:p>
    <w:p>
      <w:pPr>
        <w:pStyle w:val="ListParagraph"/>
        <w:numPr>
          <w:ilvl w:val="0"/>
          <w:numId w:val="43"/>
        </w:numPr>
        <w:tabs>
          <w:tab w:pos="951" w:val="left" w:leader="none"/>
        </w:tabs>
        <w:spacing w:line="276" w:lineRule="auto" w:before="1" w:after="0"/>
        <w:ind w:left="726" w:right="690" w:firstLine="0"/>
        <w:jc w:val="both"/>
        <w:rPr>
          <w:sz w:val="20"/>
        </w:rPr>
      </w:pPr>
      <w:r>
        <w:rPr>
          <w:sz w:val="20"/>
        </w:rPr>
        <w:t>Kontrolör, olağan durumda, yalnızca her spesifik işleme amacı için gereken kişisel verilerin işlenmesini sağlamaya yönelik uygun teknik ve düzenlemeye ilişkin tedbirler uygular. Söz konusu yükümlülük toplanan kişisel veri miktarı, bunların işlenme derecesi, saklama süresi ve bunlara erişilebilirliğe uygulanır. Özellikle, söz konusu tedbirler, olağan durumda, bireyin müdahalesi olmaksızın kişisel  verilerin belirsiz sayıda gerçek kişinin erişimine açılmamasını</w:t>
      </w:r>
      <w:r>
        <w:rPr>
          <w:spacing w:val="-14"/>
          <w:sz w:val="20"/>
        </w:rPr>
        <w:t> </w:t>
      </w:r>
      <w:r>
        <w:rPr>
          <w:sz w:val="20"/>
        </w:rPr>
        <w:t>sağlar.</w:t>
      </w:r>
    </w:p>
    <w:p>
      <w:pPr>
        <w:pStyle w:val="BodyText"/>
        <w:rPr>
          <w:sz w:val="22"/>
        </w:rPr>
      </w:pPr>
    </w:p>
    <w:p>
      <w:pPr>
        <w:pStyle w:val="BodyText"/>
        <w:spacing w:before="1"/>
        <w:rPr>
          <w:sz w:val="24"/>
        </w:rPr>
      </w:pPr>
    </w:p>
    <w:p>
      <w:pPr>
        <w:pStyle w:val="ListParagraph"/>
        <w:numPr>
          <w:ilvl w:val="0"/>
          <w:numId w:val="43"/>
        </w:numPr>
        <w:tabs>
          <w:tab w:pos="1140" w:val="left" w:leader="none"/>
        </w:tabs>
        <w:spacing w:line="278" w:lineRule="auto" w:before="0" w:after="0"/>
        <w:ind w:left="726" w:right="699" w:firstLine="0"/>
        <w:jc w:val="both"/>
        <w:rPr>
          <w:sz w:val="20"/>
        </w:rPr>
      </w:pPr>
      <w:r>
        <w:rPr>
          <w:sz w:val="20"/>
        </w:rPr>
        <w:t>42. madde uyarınca onaylı bir belgelendirme mekanizması bu maddenin 1 ve 2. paragraflarında ortaya konan gerekliliklere uygunluğun gösterilmesine ilişkin bir unsur olarak</w:t>
      </w:r>
      <w:r>
        <w:rPr>
          <w:spacing w:val="-17"/>
          <w:sz w:val="20"/>
        </w:rPr>
        <w:t> </w:t>
      </w:r>
      <w:r>
        <w:rPr>
          <w:sz w:val="20"/>
        </w:rPr>
        <w:t>kullanılabilir.</w:t>
      </w:r>
    </w:p>
    <w:p>
      <w:pPr>
        <w:pStyle w:val="BodyText"/>
        <w:rPr>
          <w:sz w:val="22"/>
        </w:rPr>
      </w:pPr>
    </w:p>
    <w:p>
      <w:pPr>
        <w:pStyle w:val="BodyText"/>
        <w:spacing w:before="7"/>
        <w:rPr>
          <w:sz w:val="23"/>
        </w:rPr>
      </w:pPr>
    </w:p>
    <w:p>
      <w:pPr>
        <w:pStyle w:val="BodyText"/>
        <w:spacing w:line="276" w:lineRule="auto"/>
        <w:ind w:left="5035" w:right="5053"/>
        <w:jc w:val="center"/>
      </w:pPr>
      <w:r>
        <w:rPr/>
        <w:t>Madde 26</w:t>
      </w:r>
    </w:p>
    <w:p>
      <w:pPr>
        <w:pStyle w:val="BodyText"/>
        <w:rPr>
          <w:sz w:val="22"/>
        </w:rPr>
      </w:pPr>
    </w:p>
    <w:p>
      <w:pPr>
        <w:pStyle w:val="BodyText"/>
        <w:spacing w:before="6"/>
        <w:rPr>
          <w:sz w:val="24"/>
        </w:rPr>
      </w:pPr>
    </w:p>
    <w:p>
      <w:pPr>
        <w:pStyle w:val="Heading1"/>
        <w:spacing w:line="276" w:lineRule="auto"/>
        <w:ind w:left="4778" w:right="4799" w:firstLine="1"/>
      </w:pPr>
      <w:r>
        <w:rPr/>
        <w:t>Ortak </w:t>
      </w:r>
      <w:r>
        <w:rPr>
          <w:w w:val="95"/>
        </w:rPr>
        <w:t>kontrolörler</w:t>
      </w:r>
    </w:p>
    <w:p>
      <w:pPr>
        <w:pStyle w:val="BodyText"/>
        <w:rPr>
          <w:b/>
          <w:sz w:val="22"/>
        </w:rPr>
      </w:pPr>
    </w:p>
    <w:p>
      <w:pPr>
        <w:pStyle w:val="BodyText"/>
        <w:spacing w:before="1"/>
        <w:rPr>
          <w:b/>
          <w:sz w:val="25"/>
        </w:rPr>
      </w:pPr>
    </w:p>
    <w:p>
      <w:pPr>
        <w:pStyle w:val="ListParagraph"/>
        <w:numPr>
          <w:ilvl w:val="0"/>
          <w:numId w:val="44"/>
        </w:numPr>
        <w:tabs>
          <w:tab w:pos="977" w:val="left" w:leader="none"/>
        </w:tabs>
        <w:spacing w:line="276" w:lineRule="auto" w:before="0" w:after="0"/>
        <w:ind w:left="726" w:right="698" w:firstLine="0"/>
        <w:jc w:val="both"/>
        <w:rPr>
          <w:sz w:val="20"/>
        </w:rPr>
      </w:pPr>
      <w:r>
        <w:rPr>
          <w:sz w:val="20"/>
        </w:rPr>
        <w:t>İki ya da daha fazla sayıda kontrolörün işleme amaçları ve yöntemlerini ortak bir şekilde belirlediği hallerde, bu kontrolörler ortak kontrolörlerdir. Ortak kontrolörler, kontrolörlerin ilgili</w:t>
      </w:r>
      <w:r>
        <w:rPr>
          <w:spacing w:val="-29"/>
          <w:sz w:val="20"/>
        </w:rPr>
        <w:t> </w:t>
      </w:r>
      <w:r>
        <w:rPr>
          <w:sz w:val="20"/>
        </w:rPr>
        <w:t>sorumlulukları</w:t>
      </w:r>
    </w:p>
    <w:p>
      <w:pPr>
        <w:spacing w:after="0" w:line="276"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line="276" w:lineRule="auto" w:before="66"/>
        <w:ind w:left="726" w:right="689"/>
        <w:jc w:val="both"/>
      </w:pPr>
      <w:r>
        <w:rPr/>
        <w:t>kontrolörün tabi olduğu Birlik veya üye devlet hukuku çerçevesinde belirlenmedikçe ve belirlendiği sürece, özellikle veri sahibinin haklarının kullanımı ve 13 ve 14. maddelerde atıfta bulunulan bilgi sağlama görevleri ile ilgili olarak bu Tüzük kapsamındaki yükümlülüklere uygunluğa ilişkin sorumluluklarını aralarındaki bir düzenleme vasıtasıyla şeffaf bir şekilde belirler. Düzenleme çerçevesinde veri sahiplerine yönelik bir temas noktası belirlenebilir.</w:t>
      </w:r>
    </w:p>
    <w:p>
      <w:pPr>
        <w:pStyle w:val="BodyText"/>
        <w:rPr>
          <w:sz w:val="22"/>
        </w:rPr>
      </w:pPr>
    </w:p>
    <w:p>
      <w:pPr>
        <w:pStyle w:val="BodyText"/>
        <w:spacing w:before="7"/>
        <w:rPr>
          <w:sz w:val="24"/>
        </w:rPr>
      </w:pPr>
    </w:p>
    <w:p>
      <w:pPr>
        <w:pStyle w:val="ListParagraph"/>
        <w:numPr>
          <w:ilvl w:val="0"/>
          <w:numId w:val="44"/>
        </w:numPr>
        <w:tabs>
          <w:tab w:pos="1008" w:val="left" w:leader="none"/>
        </w:tabs>
        <w:spacing w:line="276" w:lineRule="auto" w:before="0" w:after="0"/>
        <w:ind w:left="726" w:right="699" w:firstLine="0"/>
        <w:jc w:val="both"/>
        <w:rPr>
          <w:sz w:val="20"/>
        </w:rPr>
      </w:pPr>
      <w:r>
        <w:rPr>
          <w:sz w:val="20"/>
        </w:rPr>
        <w:t>1. paragrafta atıfta bulunulan düzenleme ortak kontrolörlerin veri sahipleriyle karşılıklı rolleri ve ilişkilerini uygun şekilde yansıtır. Düzenlemenin mahiyeti veri sahibine</w:t>
      </w:r>
      <w:r>
        <w:rPr>
          <w:spacing w:val="-11"/>
          <w:sz w:val="20"/>
        </w:rPr>
        <w:t> </w:t>
      </w:r>
      <w:r>
        <w:rPr>
          <w:sz w:val="20"/>
        </w:rPr>
        <w:t>sağlanır.</w:t>
      </w:r>
    </w:p>
    <w:p>
      <w:pPr>
        <w:pStyle w:val="BodyText"/>
        <w:rPr>
          <w:sz w:val="22"/>
        </w:rPr>
      </w:pPr>
    </w:p>
    <w:p>
      <w:pPr>
        <w:pStyle w:val="BodyText"/>
        <w:spacing w:before="5"/>
        <w:rPr>
          <w:sz w:val="24"/>
        </w:rPr>
      </w:pPr>
    </w:p>
    <w:p>
      <w:pPr>
        <w:pStyle w:val="ListParagraph"/>
        <w:numPr>
          <w:ilvl w:val="0"/>
          <w:numId w:val="44"/>
        </w:numPr>
        <w:tabs>
          <w:tab w:pos="1140" w:val="left" w:leader="none"/>
        </w:tabs>
        <w:spacing w:line="276" w:lineRule="auto" w:before="0" w:after="0"/>
        <w:ind w:left="726" w:right="698" w:firstLine="0"/>
        <w:jc w:val="both"/>
        <w:rPr>
          <w:sz w:val="20"/>
        </w:rPr>
      </w:pPr>
      <w:r>
        <w:rPr>
          <w:sz w:val="20"/>
        </w:rPr>
        <w:t>1. paragrafta atıfta bulunulan düzenlemenin koşullarına bakılmaksızın, veri sahibi bu Tüzük kapsamındaki haklarını her kontrolör açısından ve her kontrolöre karşı</w:t>
      </w:r>
      <w:r>
        <w:rPr>
          <w:spacing w:val="-13"/>
          <w:sz w:val="20"/>
        </w:rPr>
        <w:t> </w:t>
      </w:r>
      <w:r>
        <w:rPr>
          <w:sz w:val="20"/>
        </w:rPr>
        <w:t>kullanabilir.</w:t>
      </w:r>
    </w:p>
    <w:p>
      <w:pPr>
        <w:pStyle w:val="BodyText"/>
        <w:rPr>
          <w:sz w:val="22"/>
        </w:rPr>
      </w:pPr>
    </w:p>
    <w:p>
      <w:pPr>
        <w:pStyle w:val="BodyText"/>
        <w:spacing w:before="4"/>
        <w:rPr>
          <w:sz w:val="24"/>
        </w:rPr>
      </w:pPr>
    </w:p>
    <w:p>
      <w:pPr>
        <w:pStyle w:val="BodyText"/>
        <w:spacing w:line="276" w:lineRule="auto"/>
        <w:ind w:left="5035" w:right="5053"/>
        <w:jc w:val="center"/>
      </w:pPr>
      <w:r>
        <w:rPr/>
        <w:t>Madde 27</w:t>
      </w:r>
    </w:p>
    <w:p>
      <w:pPr>
        <w:pStyle w:val="BodyText"/>
        <w:spacing w:before="10"/>
        <w:rPr>
          <w:sz w:val="22"/>
        </w:rPr>
      </w:pPr>
    </w:p>
    <w:p>
      <w:pPr>
        <w:pStyle w:val="Heading1"/>
        <w:spacing w:line="276" w:lineRule="auto"/>
      </w:pPr>
      <w:r>
        <w:rPr/>
        <w:t>Birlik içerisinde kurulu olmayan kontrolörler veya işleyicilerin temsilcileri</w:t>
      </w:r>
    </w:p>
    <w:p>
      <w:pPr>
        <w:pStyle w:val="BodyText"/>
        <w:spacing w:before="10"/>
        <w:rPr>
          <w:b/>
          <w:sz w:val="23"/>
        </w:rPr>
      </w:pPr>
    </w:p>
    <w:p>
      <w:pPr>
        <w:pStyle w:val="ListParagraph"/>
        <w:numPr>
          <w:ilvl w:val="0"/>
          <w:numId w:val="45"/>
        </w:numPr>
        <w:tabs>
          <w:tab w:pos="960" w:val="left" w:leader="none"/>
        </w:tabs>
        <w:spacing w:line="278" w:lineRule="auto" w:before="0" w:after="0"/>
        <w:ind w:left="726" w:right="803" w:firstLine="0"/>
        <w:jc w:val="left"/>
        <w:rPr>
          <w:sz w:val="20"/>
        </w:rPr>
      </w:pPr>
      <w:r>
        <w:rPr>
          <w:sz w:val="20"/>
        </w:rPr>
        <w:t>3(2) maddesinin uygulandığı hallerde, kontrolör veya işleyici yazılı olarak Birlik içerisinde bir temsilci belirtir.</w:t>
      </w:r>
    </w:p>
    <w:p>
      <w:pPr>
        <w:pStyle w:val="BodyText"/>
        <w:spacing w:before="4"/>
        <w:rPr>
          <w:sz w:val="23"/>
        </w:rPr>
      </w:pPr>
    </w:p>
    <w:p>
      <w:pPr>
        <w:pStyle w:val="ListParagraph"/>
        <w:numPr>
          <w:ilvl w:val="0"/>
          <w:numId w:val="45"/>
        </w:numPr>
        <w:tabs>
          <w:tab w:pos="948" w:val="left" w:leader="none"/>
        </w:tabs>
        <w:spacing w:line="240" w:lineRule="auto" w:before="0" w:after="0"/>
        <w:ind w:left="947" w:right="0" w:hanging="221"/>
        <w:jc w:val="left"/>
        <w:rPr>
          <w:sz w:val="20"/>
        </w:rPr>
      </w:pPr>
      <w:r>
        <w:rPr>
          <w:sz w:val="20"/>
        </w:rPr>
        <w:t>Bu maddenin 1. paragrafında belirtilen yükümlülük aşağıdaki durumlara</w:t>
      </w:r>
      <w:r>
        <w:rPr>
          <w:spacing w:val="-8"/>
          <w:sz w:val="20"/>
        </w:rPr>
        <w:t> </w:t>
      </w:r>
      <w:r>
        <w:rPr>
          <w:sz w:val="20"/>
        </w:rPr>
        <w:t>uygulanmaz:</w:t>
      </w:r>
    </w:p>
    <w:p>
      <w:pPr>
        <w:pStyle w:val="BodyText"/>
        <w:spacing w:before="2"/>
        <w:rPr>
          <w:sz w:val="27"/>
        </w:rPr>
      </w:pPr>
    </w:p>
    <w:p>
      <w:pPr>
        <w:pStyle w:val="ListParagraph"/>
        <w:numPr>
          <w:ilvl w:val="0"/>
          <w:numId w:val="46"/>
        </w:numPr>
        <w:tabs>
          <w:tab w:pos="1065" w:val="left" w:leader="none"/>
        </w:tabs>
        <w:spacing w:line="276" w:lineRule="auto" w:before="0" w:after="0"/>
        <w:ind w:left="1022" w:right="693" w:hanging="296"/>
        <w:jc w:val="both"/>
        <w:rPr>
          <w:sz w:val="20"/>
        </w:rPr>
      </w:pPr>
      <w:r>
        <w:rPr>
          <w:sz w:val="20"/>
        </w:rPr>
        <w:t>nadiren gerçekleşen, 9(1) maddesinde atıfta bulunulan özel veri kategorilerinin işlenmesini büyük çaplı olarak içeren işleme faaliyeti veya 10. maddede atıfta bulunulan mahkumiyet kararları ve ceza gerektiren suçlar ile ilgili olan ve, işleme faaliyetinin mahiyeti, bağlamı, kapsamı ve amaçları dikkate alındığında, gerçek kişilerin hakları ve özgürlükleri açısından bir riske sebep olması muhtemel olmayan bir işleme faaliyeti</w:t>
      </w:r>
      <w:r>
        <w:rPr>
          <w:spacing w:val="-2"/>
          <w:sz w:val="20"/>
        </w:rPr>
        <w:t> </w:t>
      </w:r>
      <w:r>
        <w:rPr>
          <w:sz w:val="20"/>
        </w:rPr>
        <w:t>veya</w:t>
      </w:r>
    </w:p>
    <w:p>
      <w:pPr>
        <w:pStyle w:val="BodyText"/>
        <w:spacing w:before="7"/>
        <w:rPr>
          <w:sz w:val="23"/>
        </w:rPr>
      </w:pPr>
    </w:p>
    <w:p>
      <w:pPr>
        <w:pStyle w:val="ListParagraph"/>
        <w:numPr>
          <w:ilvl w:val="0"/>
          <w:numId w:val="46"/>
        </w:numPr>
        <w:tabs>
          <w:tab w:pos="1027" w:val="left" w:leader="none"/>
        </w:tabs>
        <w:spacing w:line="240" w:lineRule="auto" w:before="0" w:after="0"/>
        <w:ind w:left="1026" w:right="0" w:hanging="300"/>
        <w:jc w:val="left"/>
        <w:rPr>
          <w:sz w:val="20"/>
        </w:rPr>
      </w:pPr>
      <w:r>
        <w:rPr>
          <w:sz w:val="20"/>
        </w:rPr>
        <w:t>bir kamu kuruluşu veya</w:t>
      </w:r>
      <w:r>
        <w:rPr>
          <w:spacing w:val="-3"/>
          <w:sz w:val="20"/>
        </w:rPr>
        <w:t> </w:t>
      </w:r>
      <w:r>
        <w:rPr>
          <w:sz w:val="20"/>
        </w:rPr>
        <w:t>organı.</w:t>
      </w:r>
    </w:p>
    <w:p>
      <w:pPr>
        <w:pStyle w:val="BodyText"/>
        <w:spacing w:before="3"/>
        <w:rPr>
          <w:sz w:val="30"/>
        </w:rPr>
      </w:pPr>
    </w:p>
    <w:p>
      <w:pPr>
        <w:pStyle w:val="ListParagraph"/>
        <w:numPr>
          <w:ilvl w:val="0"/>
          <w:numId w:val="45"/>
        </w:numPr>
        <w:tabs>
          <w:tab w:pos="1066" w:val="left" w:leader="none"/>
        </w:tabs>
        <w:spacing w:line="276" w:lineRule="auto" w:before="0" w:after="0"/>
        <w:ind w:left="726" w:right="691" w:firstLine="0"/>
        <w:jc w:val="both"/>
        <w:rPr>
          <w:sz w:val="20"/>
        </w:rPr>
      </w:pPr>
      <w:r>
        <w:rPr>
          <w:sz w:val="20"/>
        </w:rPr>
        <w:t>Temsilcilik kişisel verileri kendilerine mal veya hizmetlerin sağlanması ile ilgili olarak işlenen veya davranışı izlenen veri sahiplerinin bulunduğu üye devletlerin birinde</w:t>
      </w:r>
      <w:r>
        <w:rPr>
          <w:spacing w:val="-11"/>
          <w:sz w:val="20"/>
        </w:rPr>
        <w:t> </w:t>
      </w:r>
      <w:r>
        <w:rPr>
          <w:sz w:val="20"/>
        </w:rPr>
        <w:t>kurulur.</w:t>
      </w:r>
    </w:p>
    <w:p>
      <w:pPr>
        <w:pStyle w:val="BodyText"/>
        <w:spacing w:before="9"/>
        <w:rPr>
          <w:sz w:val="23"/>
        </w:rPr>
      </w:pPr>
    </w:p>
    <w:p>
      <w:pPr>
        <w:pStyle w:val="ListParagraph"/>
        <w:numPr>
          <w:ilvl w:val="0"/>
          <w:numId w:val="45"/>
        </w:numPr>
        <w:tabs>
          <w:tab w:pos="958" w:val="left" w:leader="none"/>
        </w:tabs>
        <w:spacing w:line="276" w:lineRule="auto" w:before="0" w:after="0"/>
        <w:ind w:left="726" w:right="694" w:firstLine="0"/>
        <w:jc w:val="both"/>
        <w:rPr>
          <w:sz w:val="20"/>
        </w:rPr>
      </w:pPr>
      <w:r>
        <w:rPr>
          <w:sz w:val="20"/>
        </w:rPr>
        <w:t>Temsilci, işleme faaliyeti ile ilgili tüm hususlarda, bu Tüzük’e uygunluk sağlanması amacıyla, özellikle denetim makamları ve veri sahipleri tarafından kontrolör veya işleyiciye ek olarak veya bunlar yerine muhatap kabul edilmek üzere kontrolör veya işleyici tarafından</w:t>
      </w:r>
      <w:r>
        <w:rPr>
          <w:spacing w:val="-6"/>
          <w:sz w:val="20"/>
        </w:rPr>
        <w:t> </w:t>
      </w:r>
      <w:r>
        <w:rPr>
          <w:sz w:val="20"/>
        </w:rPr>
        <w:t>yetkilendirilir.</w:t>
      </w:r>
    </w:p>
    <w:p>
      <w:pPr>
        <w:pStyle w:val="ListParagraph"/>
        <w:numPr>
          <w:ilvl w:val="0"/>
          <w:numId w:val="45"/>
        </w:numPr>
        <w:tabs>
          <w:tab w:pos="1140" w:val="left" w:leader="none"/>
        </w:tabs>
        <w:spacing w:line="276" w:lineRule="auto" w:before="1" w:after="0"/>
        <w:ind w:left="726" w:right="700" w:firstLine="0"/>
        <w:jc w:val="both"/>
        <w:rPr>
          <w:sz w:val="20"/>
        </w:rPr>
      </w:pPr>
      <w:r>
        <w:rPr>
          <w:sz w:val="20"/>
        </w:rPr>
        <w:t>Kontrolör veya işleyici tarafından bir temsilci belirlenmesiyle kontrolör veya işleyiciye karşı açılabilecek davalara halel</w:t>
      </w:r>
      <w:r>
        <w:rPr>
          <w:spacing w:val="2"/>
          <w:sz w:val="20"/>
        </w:rPr>
        <w:t> </w:t>
      </w:r>
      <w:r>
        <w:rPr>
          <w:sz w:val="20"/>
        </w:rPr>
        <w:t>gelmez.</w:t>
      </w:r>
    </w:p>
    <w:p>
      <w:pPr>
        <w:pStyle w:val="BodyText"/>
        <w:spacing w:before="10"/>
        <w:rPr>
          <w:sz w:val="22"/>
        </w:rPr>
      </w:pPr>
    </w:p>
    <w:p>
      <w:pPr>
        <w:pStyle w:val="BodyText"/>
        <w:spacing w:line="278" w:lineRule="auto"/>
        <w:ind w:left="5035" w:right="5053"/>
        <w:jc w:val="center"/>
      </w:pPr>
      <w:r>
        <w:rPr/>
        <w:t>Madde 28</w:t>
      </w:r>
    </w:p>
    <w:p>
      <w:pPr>
        <w:pStyle w:val="BodyText"/>
        <w:rPr>
          <w:sz w:val="22"/>
        </w:rPr>
      </w:pPr>
    </w:p>
    <w:p>
      <w:pPr>
        <w:pStyle w:val="BodyText"/>
        <w:spacing w:before="7"/>
        <w:rPr>
          <w:sz w:val="23"/>
        </w:rPr>
      </w:pPr>
    </w:p>
    <w:p>
      <w:pPr>
        <w:pStyle w:val="Heading1"/>
        <w:spacing w:before="1"/>
      </w:pPr>
      <w:r>
        <w:rPr/>
        <w:t>İşleyici</w:t>
      </w:r>
    </w:p>
    <w:p>
      <w:pPr>
        <w:pStyle w:val="BodyText"/>
        <w:rPr>
          <w:b/>
          <w:sz w:val="22"/>
        </w:rPr>
      </w:pPr>
    </w:p>
    <w:p>
      <w:pPr>
        <w:pStyle w:val="BodyText"/>
        <w:spacing w:before="4"/>
        <w:rPr>
          <w:b/>
          <w:sz w:val="28"/>
        </w:rPr>
      </w:pPr>
    </w:p>
    <w:p>
      <w:pPr>
        <w:pStyle w:val="ListParagraph"/>
        <w:numPr>
          <w:ilvl w:val="0"/>
          <w:numId w:val="47"/>
        </w:numPr>
        <w:tabs>
          <w:tab w:pos="1003" w:val="left" w:leader="none"/>
        </w:tabs>
        <w:spacing w:line="276" w:lineRule="auto" w:before="0" w:after="0"/>
        <w:ind w:left="726" w:right="698" w:firstLine="0"/>
        <w:jc w:val="both"/>
        <w:rPr>
          <w:sz w:val="20"/>
        </w:rPr>
      </w:pPr>
      <w:r>
        <w:rPr>
          <w:sz w:val="20"/>
        </w:rPr>
        <w:t>Bir kontrolör adına bir işleme faaliyetinin gerçekleştirilmesinin gerektiği hallerde, kontrolör ancak işleme faaliyetinin bu Tüzük’ün gerekliliklerinin yerine getirilmesini ve veri sahibinin haklarının korunmasını sağlayacak biçimde uygun teknik ve düzenlemeye ilişkin tedbirler uygulama hususunda yeterli güvenceler sağlayan işleyiciler</w:t>
      </w:r>
      <w:r>
        <w:rPr>
          <w:spacing w:val="-3"/>
          <w:sz w:val="20"/>
        </w:rPr>
        <w:t> </w:t>
      </w:r>
      <w:r>
        <w:rPr>
          <w:sz w:val="20"/>
        </w:rPr>
        <w:t>kullanır.</w:t>
      </w:r>
    </w:p>
    <w:p>
      <w:pPr>
        <w:pStyle w:val="BodyText"/>
        <w:rPr>
          <w:sz w:val="22"/>
        </w:rPr>
      </w:pPr>
    </w:p>
    <w:p>
      <w:pPr>
        <w:pStyle w:val="BodyText"/>
        <w:spacing w:before="9"/>
        <w:rPr>
          <w:sz w:val="24"/>
        </w:rPr>
      </w:pPr>
    </w:p>
    <w:p>
      <w:pPr>
        <w:pStyle w:val="ListParagraph"/>
        <w:numPr>
          <w:ilvl w:val="0"/>
          <w:numId w:val="47"/>
        </w:numPr>
        <w:tabs>
          <w:tab w:pos="948" w:val="left" w:leader="none"/>
        </w:tabs>
        <w:spacing w:line="240" w:lineRule="auto" w:before="0" w:after="0"/>
        <w:ind w:left="947" w:right="0" w:hanging="221"/>
        <w:jc w:val="both"/>
        <w:rPr>
          <w:sz w:val="20"/>
        </w:rPr>
      </w:pPr>
      <w:r>
        <w:rPr>
          <w:sz w:val="20"/>
        </w:rPr>
        <w:t>İşleyici kontrolörün önceden verdiği spesifik veya genel yazılı onay olmaksızın başka bir</w:t>
      </w:r>
      <w:r>
        <w:rPr>
          <w:spacing w:val="-25"/>
          <w:sz w:val="20"/>
        </w:rPr>
        <w:t> </w:t>
      </w:r>
      <w:r>
        <w:rPr>
          <w:sz w:val="20"/>
        </w:rPr>
        <w:t>işleyiciyle</w:t>
      </w:r>
    </w:p>
    <w:p>
      <w:pPr>
        <w:spacing w:after="0" w:line="240" w:lineRule="auto"/>
        <w:jc w:val="both"/>
        <w:rPr>
          <w:sz w:val="20"/>
        </w:rPr>
        <w:sectPr>
          <w:pgSz w:w="11930" w:h="16850"/>
          <w:pgMar w:header="961" w:footer="0" w:top="1240" w:bottom="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line="276" w:lineRule="auto" w:before="66"/>
        <w:ind w:left="726" w:right="697"/>
        <w:jc w:val="both"/>
      </w:pPr>
      <w:r>
        <w:rPr/>
        <w:t>çalışamaz. Genel yazılı onay halinde, işleyici diğer işleyicilerin eklenmesi veya değiştirilmesi ile ilgili planlanan değişiklikler hususunda kontrolörü bilgilendirerek kontrolöre söz konusu değişikliklere itiraz etme olanağı tanır.</w:t>
      </w:r>
    </w:p>
    <w:p>
      <w:pPr>
        <w:pStyle w:val="BodyText"/>
        <w:spacing w:before="8"/>
        <w:rPr>
          <w:sz w:val="23"/>
        </w:rPr>
      </w:pPr>
    </w:p>
    <w:p>
      <w:pPr>
        <w:pStyle w:val="ListParagraph"/>
        <w:numPr>
          <w:ilvl w:val="0"/>
          <w:numId w:val="47"/>
        </w:numPr>
        <w:tabs>
          <w:tab w:pos="982" w:val="left" w:leader="none"/>
        </w:tabs>
        <w:spacing w:line="276" w:lineRule="auto" w:before="0" w:after="0"/>
        <w:ind w:left="726" w:right="691" w:firstLine="0"/>
        <w:jc w:val="both"/>
        <w:rPr>
          <w:sz w:val="20"/>
        </w:rPr>
      </w:pPr>
      <w:r>
        <w:rPr>
          <w:sz w:val="20"/>
        </w:rPr>
        <w:t>Bir işleyici tarafından işleme faaliyeti gerçekleştirilmesi Birlik veya üye devlet hukuku çerçevesinde düzenlenen, kontrolör ile ilgili olarak işleyici açısından bağlayıcı olan ve işleme faaliyetinin konusu ve süresi, işleme faaliyetinin mahiyeti ve amacı, kişisel verilerin türü ve veri sahiplerinin kategorileri ile kontrolörün yükümlülükleri ve haklarının ortaya konduğu bir sözleşme veya diğer hukuki tasarruflar ile düzenlenir. Söz konusu sözleşme veya diğer hukuki tasarruflarda özellikle işleyicinin şunları yapacağı belirtilir:</w:t>
      </w:r>
    </w:p>
    <w:p>
      <w:pPr>
        <w:pStyle w:val="BodyText"/>
        <w:spacing w:before="9"/>
        <w:rPr>
          <w:sz w:val="24"/>
        </w:rPr>
      </w:pPr>
    </w:p>
    <w:p>
      <w:pPr>
        <w:pStyle w:val="ListParagraph"/>
        <w:numPr>
          <w:ilvl w:val="0"/>
          <w:numId w:val="48"/>
        </w:numPr>
        <w:tabs>
          <w:tab w:pos="1123" w:val="left" w:leader="none"/>
        </w:tabs>
        <w:spacing w:line="276" w:lineRule="auto" w:before="1" w:after="0"/>
        <w:ind w:left="1024" w:right="695" w:hanging="298"/>
        <w:jc w:val="both"/>
        <w:rPr>
          <w:sz w:val="20"/>
        </w:rPr>
      </w:pPr>
      <w:r>
        <w:rPr>
          <w:sz w:val="20"/>
        </w:rPr>
        <w:t>işleyicinin tabi olduğu Birlik veya üye devlet hukuku çerçevesinde bu yönde bir gereklilik bulunmaması halinde, üçüncü bir ülkeye veya uluslararası bir kuruluşa kişisel veri aktarımları ile ilgili olanlar da dahil olmak üzere yalnızca kontrolörün verdiği belgelendirilmiş talimatlar doğrultusunda kişisel verilerin işlenmesi; bu durumda, kanunlar çerçevesinde söz konusu bilgilendirmenin önemli kamu yararı gerekçeleriyle yasaklanmaması halinde, işleyici kontrolörü işleme faaliyetinden önce bu yasal gereksinimden haberdar</w:t>
      </w:r>
      <w:r>
        <w:rPr>
          <w:spacing w:val="-4"/>
          <w:sz w:val="20"/>
        </w:rPr>
        <w:t> </w:t>
      </w:r>
      <w:r>
        <w:rPr>
          <w:sz w:val="20"/>
        </w:rPr>
        <w:t>eder;</w:t>
      </w:r>
    </w:p>
    <w:p>
      <w:pPr>
        <w:pStyle w:val="BodyText"/>
        <w:spacing w:before="7"/>
        <w:rPr>
          <w:sz w:val="24"/>
        </w:rPr>
      </w:pPr>
    </w:p>
    <w:p>
      <w:pPr>
        <w:pStyle w:val="ListParagraph"/>
        <w:numPr>
          <w:ilvl w:val="0"/>
          <w:numId w:val="48"/>
        </w:numPr>
        <w:tabs>
          <w:tab w:pos="1034" w:val="left" w:leader="none"/>
        </w:tabs>
        <w:spacing w:line="276" w:lineRule="auto" w:before="0" w:after="0"/>
        <w:ind w:left="1024" w:right="701" w:hanging="298"/>
        <w:jc w:val="both"/>
        <w:rPr>
          <w:sz w:val="20"/>
        </w:rPr>
      </w:pPr>
      <w:r>
        <w:rPr>
          <w:sz w:val="20"/>
        </w:rPr>
        <w:t>kişisel verileri işleme yetkisi bulunan kişilerin gizlilik taahhüdünde bulunmasının veya uygun bir yasal gizlilik yükümlülüğü altında bulunmasının</w:t>
      </w:r>
      <w:r>
        <w:rPr>
          <w:spacing w:val="3"/>
          <w:sz w:val="20"/>
        </w:rPr>
        <w:t> </w:t>
      </w:r>
      <w:r>
        <w:rPr>
          <w:sz w:val="20"/>
        </w:rPr>
        <w:t>sağlanması;</w:t>
      </w:r>
    </w:p>
    <w:p>
      <w:pPr>
        <w:pStyle w:val="BodyText"/>
        <w:spacing w:before="5"/>
        <w:rPr>
          <w:sz w:val="23"/>
        </w:rPr>
      </w:pPr>
    </w:p>
    <w:p>
      <w:pPr>
        <w:pStyle w:val="ListParagraph"/>
        <w:numPr>
          <w:ilvl w:val="0"/>
          <w:numId w:val="48"/>
        </w:numPr>
        <w:tabs>
          <w:tab w:pos="1017" w:val="left" w:leader="none"/>
        </w:tabs>
        <w:spacing w:line="240" w:lineRule="auto" w:before="1" w:after="0"/>
        <w:ind w:left="1016" w:right="0" w:hanging="290"/>
        <w:jc w:val="left"/>
        <w:rPr>
          <w:sz w:val="20"/>
        </w:rPr>
      </w:pPr>
      <w:r>
        <w:rPr>
          <w:sz w:val="20"/>
        </w:rPr>
        <w:t>32. madde uyarınca gerekli tüm tedbirlerin</w:t>
      </w:r>
      <w:r>
        <w:rPr>
          <w:spacing w:val="-5"/>
          <w:sz w:val="20"/>
        </w:rPr>
        <w:t> </w:t>
      </w:r>
      <w:r>
        <w:rPr>
          <w:sz w:val="20"/>
        </w:rPr>
        <w:t>alınması;</w:t>
      </w:r>
    </w:p>
    <w:p>
      <w:pPr>
        <w:pStyle w:val="BodyText"/>
        <w:rPr>
          <w:sz w:val="22"/>
        </w:rPr>
      </w:pPr>
    </w:p>
    <w:p>
      <w:pPr>
        <w:pStyle w:val="BodyText"/>
        <w:spacing w:before="3"/>
        <w:rPr>
          <w:sz w:val="27"/>
        </w:rPr>
      </w:pPr>
    </w:p>
    <w:p>
      <w:pPr>
        <w:pStyle w:val="ListParagraph"/>
        <w:numPr>
          <w:ilvl w:val="0"/>
          <w:numId w:val="48"/>
        </w:numPr>
        <w:tabs>
          <w:tab w:pos="1027" w:val="left" w:leader="none"/>
        </w:tabs>
        <w:spacing w:line="276" w:lineRule="auto" w:before="0" w:after="0"/>
        <w:ind w:left="1024" w:right="1390" w:hanging="298"/>
        <w:jc w:val="left"/>
        <w:rPr>
          <w:sz w:val="20"/>
        </w:rPr>
      </w:pPr>
      <w:r>
        <w:rPr>
          <w:sz w:val="20"/>
        </w:rPr>
        <w:t>başka</w:t>
      </w:r>
      <w:r>
        <w:rPr>
          <w:spacing w:val="-6"/>
          <w:sz w:val="20"/>
        </w:rPr>
        <w:t> </w:t>
      </w:r>
      <w:r>
        <w:rPr>
          <w:sz w:val="20"/>
        </w:rPr>
        <w:t>bir</w:t>
      </w:r>
      <w:r>
        <w:rPr>
          <w:spacing w:val="-5"/>
          <w:sz w:val="20"/>
        </w:rPr>
        <w:t> </w:t>
      </w:r>
      <w:r>
        <w:rPr>
          <w:sz w:val="20"/>
        </w:rPr>
        <w:t>işleyiciyle</w:t>
      </w:r>
      <w:r>
        <w:rPr>
          <w:spacing w:val="-6"/>
          <w:sz w:val="20"/>
        </w:rPr>
        <w:t> </w:t>
      </w:r>
      <w:r>
        <w:rPr>
          <w:sz w:val="20"/>
        </w:rPr>
        <w:t>çalışılması</w:t>
      </w:r>
      <w:r>
        <w:rPr>
          <w:spacing w:val="-6"/>
          <w:sz w:val="20"/>
        </w:rPr>
        <w:t> </w:t>
      </w:r>
      <w:r>
        <w:rPr>
          <w:sz w:val="20"/>
        </w:rPr>
        <w:t>amacıyla</w:t>
      </w:r>
      <w:r>
        <w:rPr>
          <w:spacing w:val="-6"/>
          <w:sz w:val="20"/>
        </w:rPr>
        <w:t> </w:t>
      </w:r>
      <w:r>
        <w:rPr>
          <w:sz w:val="20"/>
        </w:rPr>
        <w:t>2</w:t>
      </w:r>
      <w:r>
        <w:rPr>
          <w:spacing w:val="-5"/>
          <w:sz w:val="20"/>
        </w:rPr>
        <w:t> </w:t>
      </w:r>
      <w:r>
        <w:rPr>
          <w:sz w:val="20"/>
        </w:rPr>
        <w:t>ve</w:t>
      </w:r>
      <w:r>
        <w:rPr>
          <w:spacing w:val="-4"/>
          <w:sz w:val="20"/>
        </w:rPr>
        <w:t> </w:t>
      </w:r>
      <w:r>
        <w:rPr>
          <w:sz w:val="20"/>
        </w:rPr>
        <w:t>4.</w:t>
      </w:r>
      <w:r>
        <w:rPr>
          <w:spacing w:val="-7"/>
          <w:sz w:val="20"/>
        </w:rPr>
        <w:t> </w:t>
      </w:r>
      <w:r>
        <w:rPr>
          <w:sz w:val="20"/>
        </w:rPr>
        <w:t>paragraflarda</w:t>
      </w:r>
      <w:r>
        <w:rPr>
          <w:spacing w:val="-4"/>
          <w:sz w:val="20"/>
        </w:rPr>
        <w:t> </w:t>
      </w:r>
      <w:r>
        <w:rPr>
          <w:sz w:val="20"/>
        </w:rPr>
        <w:t>atıfta</w:t>
      </w:r>
      <w:r>
        <w:rPr>
          <w:spacing w:val="-6"/>
          <w:sz w:val="20"/>
        </w:rPr>
        <w:t> </w:t>
      </w:r>
      <w:r>
        <w:rPr>
          <w:sz w:val="20"/>
        </w:rPr>
        <w:t>bulunulan</w:t>
      </w:r>
      <w:r>
        <w:rPr>
          <w:spacing w:val="-5"/>
          <w:sz w:val="20"/>
        </w:rPr>
        <w:t> </w:t>
      </w:r>
      <w:r>
        <w:rPr>
          <w:sz w:val="20"/>
        </w:rPr>
        <w:t>koşullara</w:t>
      </w:r>
      <w:r>
        <w:rPr>
          <w:spacing w:val="-6"/>
          <w:sz w:val="20"/>
        </w:rPr>
        <w:t> </w:t>
      </w:r>
      <w:r>
        <w:rPr>
          <w:sz w:val="20"/>
        </w:rPr>
        <w:t>riayet edilmesi;</w:t>
      </w:r>
    </w:p>
    <w:p>
      <w:pPr>
        <w:pStyle w:val="BodyText"/>
        <w:spacing w:before="1"/>
        <w:rPr>
          <w:sz w:val="23"/>
        </w:rPr>
      </w:pPr>
    </w:p>
    <w:p>
      <w:pPr>
        <w:pStyle w:val="ListParagraph"/>
        <w:numPr>
          <w:ilvl w:val="0"/>
          <w:numId w:val="48"/>
        </w:numPr>
        <w:tabs>
          <w:tab w:pos="1087" w:val="left" w:leader="none"/>
        </w:tabs>
        <w:spacing w:line="276" w:lineRule="auto" w:before="0" w:after="0"/>
        <w:ind w:left="1024" w:right="693" w:hanging="298"/>
        <w:jc w:val="both"/>
        <w:rPr>
          <w:sz w:val="20"/>
        </w:rPr>
      </w:pPr>
      <w:r>
        <w:rPr>
          <w:sz w:val="20"/>
        </w:rPr>
        <w:t>işleme faaliyetinin mahiyetinin dikkate alınması suretiyle, kontrolörün veri sahibinin Bölüm III’te belirtilen haklarının kullanımına ilişkin taleplere yanıt verme yükümlülüğünün yerine getirilmesine yönelik olarak, uygun teknik ve düzenlemeye ilişkin tedbirler vasıtasıyla, kontrolöre mümkün olduğunca yardımcı</w:t>
      </w:r>
      <w:r>
        <w:rPr>
          <w:spacing w:val="-1"/>
          <w:sz w:val="20"/>
        </w:rPr>
        <w:t> </w:t>
      </w:r>
      <w:r>
        <w:rPr>
          <w:sz w:val="20"/>
        </w:rPr>
        <w:t>olunması;</w:t>
      </w:r>
    </w:p>
    <w:p>
      <w:pPr>
        <w:pStyle w:val="BodyText"/>
        <w:spacing w:before="6"/>
        <w:rPr>
          <w:sz w:val="24"/>
        </w:rPr>
      </w:pPr>
    </w:p>
    <w:p>
      <w:pPr>
        <w:pStyle w:val="ListParagraph"/>
        <w:numPr>
          <w:ilvl w:val="0"/>
          <w:numId w:val="48"/>
        </w:numPr>
        <w:tabs>
          <w:tab w:pos="1024" w:val="left" w:leader="none"/>
        </w:tabs>
        <w:spacing w:line="276" w:lineRule="auto" w:before="0" w:after="0"/>
        <w:ind w:left="1024" w:right="691" w:hanging="298"/>
        <w:jc w:val="both"/>
        <w:rPr>
          <w:sz w:val="20"/>
        </w:rPr>
      </w:pPr>
      <w:r>
        <w:rPr>
          <w:sz w:val="20"/>
        </w:rPr>
        <w:t>işleme faaliyetinin mahiyeti ve işleyiciye sağlanan bilgilerin dikkate alınması suretiyle, 32 ila 36. maddeler uyarınca yükümlülüklere uygun hareket edilmesinin sağlanmasında kontrolöre yardımcı olunması;</w:t>
      </w:r>
    </w:p>
    <w:p>
      <w:pPr>
        <w:pStyle w:val="BodyText"/>
        <w:spacing w:before="8"/>
        <w:rPr>
          <w:sz w:val="24"/>
        </w:rPr>
      </w:pPr>
    </w:p>
    <w:p>
      <w:pPr>
        <w:pStyle w:val="ListParagraph"/>
        <w:numPr>
          <w:ilvl w:val="0"/>
          <w:numId w:val="48"/>
        </w:numPr>
        <w:tabs>
          <w:tab w:pos="1070" w:val="left" w:leader="none"/>
        </w:tabs>
        <w:spacing w:line="276" w:lineRule="auto" w:before="1" w:after="0"/>
        <w:ind w:left="1024" w:right="699" w:hanging="298"/>
        <w:jc w:val="both"/>
        <w:rPr>
          <w:sz w:val="20"/>
        </w:rPr>
      </w:pPr>
      <w:r>
        <w:rPr>
          <w:sz w:val="20"/>
        </w:rPr>
        <w:t>kontrolörün tercihi üzerine, işleme faaliyeti ile ilgili hizmetlerin sağlanmasından sonra tüm kişisel verilerin silinmesi veya kontrolöre iade edilmesi ve, Birlik ya da üye devlet hukuku çerçevesinde kişisel verilerin saklanmasının gerekli olmaması durumunda, mevcut nüshaların</w:t>
      </w:r>
      <w:r>
        <w:rPr>
          <w:spacing w:val="-26"/>
          <w:sz w:val="20"/>
        </w:rPr>
        <w:t> </w:t>
      </w:r>
      <w:r>
        <w:rPr>
          <w:sz w:val="20"/>
        </w:rPr>
        <w:t>silinmesi;</w:t>
      </w:r>
    </w:p>
    <w:p>
      <w:pPr>
        <w:pStyle w:val="BodyText"/>
        <w:spacing w:before="5"/>
        <w:rPr>
          <w:sz w:val="24"/>
        </w:rPr>
      </w:pPr>
    </w:p>
    <w:p>
      <w:pPr>
        <w:pStyle w:val="ListParagraph"/>
        <w:numPr>
          <w:ilvl w:val="0"/>
          <w:numId w:val="48"/>
        </w:numPr>
        <w:tabs>
          <w:tab w:pos="1094" w:val="left" w:leader="none"/>
        </w:tabs>
        <w:spacing w:line="276" w:lineRule="auto" w:before="0" w:after="0"/>
        <w:ind w:left="1024" w:right="699" w:hanging="298"/>
        <w:jc w:val="both"/>
        <w:rPr>
          <w:sz w:val="20"/>
        </w:rPr>
      </w:pPr>
      <w:r>
        <w:rPr>
          <w:sz w:val="20"/>
        </w:rPr>
        <w:t>bu maddede ortaya konan yükümlülüklere uygunluğun gösterilmesi için gereken tüm bilgilerin kontrolöre sağlanması ve teftişler de dahil olmak üzere kontrolör tarafından ya da kontrolörce yetkilendirilen başka bir denetçi tarafından gerçekleştirilen denetimlere izin verilmesi ve katkıda bulunulması.</w:t>
      </w:r>
    </w:p>
    <w:p>
      <w:pPr>
        <w:pStyle w:val="BodyText"/>
        <w:spacing w:before="5"/>
        <w:rPr>
          <w:sz w:val="27"/>
        </w:rPr>
      </w:pPr>
    </w:p>
    <w:p>
      <w:pPr>
        <w:pStyle w:val="BodyText"/>
        <w:spacing w:line="276" w:lineRule="auto"/>
        <w:ind w:left="726" w:right="694"/>
        <w:jc w:val="both"/>
      </w:pPr>
      <w:r>
        <w:rPr/>
        <w:t>İlk alt paragrafın (h) bendi ile ilgili olarak, kendi görüşüne göre bir talimatın bu Tüzük veya Birlik ya da üye devletin diğer veri koruma hükümlerini ihlal etmesi durumunda, kontrolörü ivedilikle</w:t>
      </w:r>
      <w:r>
        <w:rPr>
          <w:spacing w:val="-39"/>
        </w:rPr>
        <w:t> </w:t>
      </w:r>
      <w:r>
        <w:rPr/>
        <w:t>bilgilendirir.</w:t>
      </w:r>
    </w:p>
    <w:p>
      <w:pPr>
        <w:pStyle w:val="BodyText"/>
        <w:rPr>
          <w:sz w:val="22"/>
        </w:rPr>
      </w:pPr>
    </w:p>
    <w:p>
      <w:pPr>
        <w:pStyle w:val="BodyText"/>
        <w:spacing w:before="8"/>
        <w:rPr>
          <w:sz w:val="24"/>
        </w:rPr>
      </w:pPr>
    </w:p>
    <w:p>
      <w:pPr>
        <w:pStyle w:val="ListParagraph"/>
        <w:numPr>
          <w:ilvl w:val="0"/>
          <w:numId w:val="47"/>
        </w:numPr>
        <w:tabs>
          <w:tab w:pos="972" w:val="left" w:leader="none"/>
        </w:tabs>
        <w:spacing w:line="276" w:lineRule="auto" w:before="0" w:after="0"/>
        <w:ind w:left="726" w:right="688" w:firstLine="0"/>
        <w:jc w:val="both"/>
        <w:rPr>
          <w:sz w:val="20"/>
        </w:rPr>
      </w:pPr>
      <w:r>
        <w:rPr>
          <w:sz w:val="20"/>
        </w:rPr>
        <w:t>Bir işleyicinin kontrolör adına spesifik işleme faaliyetlerinin gerçekleştirilmesine yönelik olarak başka bir işleyici ile çalıştığı durumlarda, 3. paragrafta atıfta bulunulduğu üzere kontrolör ve işleyici arasındaki sözleşme veya başka bir hukuki tasarrufta ortaya konan veri koruma yükümlülükleri özellikle işleme faaliyetinin bu Tüzük’ün gerekliliklerinin yerine getirilmesini sağlayacak şekilde uygun teknik ve düzenlemeye ilişkin tedbirlerin uygulanması amacı ile yeterli teminatlar sağlayan bir sözleşme ya da Birlik veya üye devlet hukuku kapsamındaki başka bir hukuki tasarruf yoluyla diğer işleyici açısından da uygulanır. Diğer işleyicinin veri koruma yükümlülüklerini yerine getiremediği hallerde, ilk işleyici diğer işleyicinin</w:t>
      </w:r>
      <w:r>
        <w:rPr>
          <w:spacing w:val="-5"/>
          <w:sz w:val="20"/>
        </w:rPr>
        <w:t> </w:t>
      </w:r>
      <w:r>
        <w:rPr>
          <w:sz w:val="20"/>
        </w:rPr>
        <w:t>yükümlülüklerinin</w:t>
      </w:r>
      <w:r>
        <w:rPr>
          <w:spacing w:val="-5"/>
          <w:sz w:val="20"/>
        </w:rPr>
        <w:t> </w:t>
      </w:r>
      <w:r>
        <w:rPr>
          <w:sz w:val="20"/>
        </w:rPr>
        <w:t>ifası</w:t>
      </w:r>
      <w:r>
        <w:rPr>
          <w:spacing w:val="-7"/>
          <w:sz w:val="20"/>
        </w:rPr>
        <w:t> </w:t>
      </w:r>
      <w:r>
        <w:rPr>
          <w:sz w:val="20"/>
        </w:rPr>
        <w:t>konusunda</w:t>
      </w:r>
      <w:r>
        <w:rPr>
          <w:spacing w:val="-8"/>
          <w:sz w:val="20"/>
        </w:rPr>
        <w:t> </w:t>
      </w:r>
      <w:r>
        <w:rPr>
          <w:sz w:val="20"/>
        </w:rPr>
        <w:t>kontrolöre</w:t>
      </w:r>
      <w:r>
        <w:rPr>
          <w:spacing w:val="-4"/>
          <w:sz w:val="20"/>
        </w:rPr>
        <w:t> </w:t>
      </w:r>
      <w:r>
        <w:rPr>
          <w:sz w:val="20"/>
        </w:rPr>
        <w:t>karşı</w:t>
      </w:r>
      <w:r>
        <w:rPr>
          <w:spacing w:val="-7"/>
          <w:sz w:val="20"/>
        </w:rPr>
        <w:t> </w:t>
      </w:r>
      <w:r>
        <w:rPr>
          <w:sz w:val="20"/>
        </w:rPr>
        <w:t>tam</w:t>
      </w:r>
      <w:r>
        <w:rPr>
          <w:spacing w:val="-2"/>
          <w:sz w:val="20"/>
        </w:rPr>
        <w:t> </w:t>
      </w:r>
      <w:r>
        <w:rPr>
          <w:sz w:val="20"/>
        </w:rPr>
        <w:t>yükümlülük</w:t>
      </w:r>
      <w:r>
        <w:rPr>
          <w:spacing w:val="-4"/>
          <w:sz w:val="20"/>
        </w:rPr>
        <w:t> </w:t>
      </w:r>
      <w:r>
        <w:rPr>
          <w:sz w:val="20"/>
        </w:rPr>
        <w:t>sahibi</w:t>
      </w:r>
      <w:r>
        <w:rPr>
          <w:spacing w:val="-8"/>
          <w:sz w:val="20"/>
        </w:rPr>
        <w:t> </w:t>
      </w:r>
      <w:r>
        <w:rPr>
          <w:sz w:val="20"/>
        </w:rPr>
        <w:t>olmaya</w:t>
      </w:r>
      <w:r>
        <w:rPr>
          <w:spacing w:val="-7"/>
          <w:sz w:val="20"/>
        </w:rPr>
        <w:t> </w:t>
      </w:r>
      <w:r>
        <w:rPr>
          <w:sz w:val="20"/>
        </w:rPr>
        <w:t>devam</w:t>
      </w:r>
      <w:r>
        <w:rPr>
          <w:spacing w:val="-4"/>
          <w:sz w:val="20"/>
        </w:rPr>
        <w:t> </w:t>
      </w:r>
      <w:r>
        <w:rPr>
          <w:sz w:val="20"/>
        </w:rPr>
        <w:t>eder.</w:t>
      </w:r>
    </w:p>
    <w:p>
      <w:pPr>
        <w:spacing w:after="0" w:line="276" w:lineRule="auto"/>
        <w:jc w:val="both"/>
        <w:rPr>
          <w:sz w:val="20"/>
        </w:rPr>
        <w:sectPr>
          <w:pgSz w:w="11930" w:h="16850"/>
          <w:pgMar w:header="961" w:footer="0" w:top="1240" w:bottom="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before="8"/>
      </w:pPr>
    </w:p>
    <w:p>
      <w:pPr>
        <w:pStyle w:val="ListParagraph"/>
        <w:numPr>
          <w:ilvl w:val="0"/>
          <w:numId w:val="47"/>
        </w:numPr>
        <w:tabs>
          <w:tab w:pos="1015" w:val="left" w:leader="none"/>
        </w:tabs>
        <w:spacing w:line="276" w:lineRule="auto" w:before="93" w:after="0"/>
        <w:ind w:left="726" w:right="699" w:firstLine="0"/>
        <w:jc w:val="both"/>
        <w:rPr>
          <w:sz w:val="20"/>
        </w:rPr>
      </w:pPr>
      <w:r>
        <w:rPr>
          <w:sz w:val="20"/>
        </w:rPr>
        <w:t>Bir işleyicinin 40. maddede atıfta bulunulan onaylı davranış kuralları veya 42. maddede atıfta bulunulan onaylı belgelendirme mekanizmalarına uygun hareket etmesi bu maddenin 1 ve 4. paragraflarında atıfta bulunulan yeterli teminatların gösterilmesine ilişkin bir unsur olarak</w:t>
      </w:r>
      <w:r>
        <w:rPr>
          <w:spacing w:val="-35"/>
          <w:sz w:val="20"/>
        </w:rPr>
        <w:t> </w:t>
      </w:r>
      <w:r>
        <w:rPr>
          <w:sz w:val="20"/>
        </w:rPr>
        <w:t>kullanılabilir.</w:t>
      </w:r>
    </w:p>
    <w:p>
      <w:pPr>
        <w:pStyle w:val="BodyText"/>
        <w:rPr>
          <w:sz w:val="22"/>
        </w:rPr>
      </w:pPr>
    </w:p>
    <w:p>
      <w:pPr>
        <w:pStyle w:val="BodyText"/>
        <w:spacing w:before="9"/>
        <w:rPr>
          <w:sz w:val="24"/>
        </w:rPr>
      </w:pPr>
    </w:p>
    <w:p>
      <w:pPr>
        <w:pStyle w:val="ListParagraph"/>
        <w:numPr>
          <w:ilvl w:val="0"/>
          <w:numId w:val="47"/>
        </w:numPr>
        <w:tabs>
          <w:tab w:pos="1001" w:val="left" w:leader="none"/>
        </w:tabs>
        <w:spacing w:line="276" w:lineRule="auto" w:before="0" w:after="0"/>
        <w:ind w:left="726" w:right="696" w:firstLine="0"/>
        <w:jc w:val="both"/>
        <w:rPr>
          <w:sz w:val="20"/>
        </w:rPr>
      </w:pPr>
      <w:r>
        <w:rPr>
          <w:sz w:val="20"/>
        </w:rPr>
        <w:t>Kontrolör ve işleyici arasındaki bireysel bir sözleşmeye halel gelmeksizin, bu maddenin 3 ve 4. paragraflarında atıfta bulunulan sözleşme </w:t>
      </w:r>
      <w:r>
        <w:rPr>
          <w:spacing w:val="-3"/>
          <w:sz w:val="20"/>
        </w:rPr>
        <w:t>ya </w:t>
      </w:r>
      <w:r>
        <w:rPr>
          <w:sz w:val="20"/>
        </w:rPr>
        <w:t>da başka bir hukuki tasarruf, 42 ve 43. maddeler uyarınca kontrolör veya işleyiciye sağlanan bir belgelendirmenin parçası olmaları durumu da dahil olmak üzere, tamamen veya kısmen, bu maddenin 7 ve 8. paragraflarında atıfta bulunulan standart sözleşme maddelerine</w:t>
      </w:r>
      <w:r>
        <w:rPr>
          <w:spacing w:val="-2"/>
          <w:sz w:val="20"/>
        </w:rPr>
        <w:t> </w:t>
      </w:r>
      <w:r>
        <w:rPr>
          <w:sz w:val="20"/>
        </w:rPr>
        <w:t>dayanabilir.</w:t>
      </w:r>
    </w:p>
    <w:p>
      <w:pPr>
        <w:pStyle w:val="BodyText"/>
        <w:rPr>
          <w:sz w:val="22"/>
        </w:rPr>
      </w:pPr>
    </w:p>
    <w:p>
      <w:pPr>
        <w:pStyle w:val="BodyText"/>
        <w:spacing w:before="9"/>
        <w:rPr>
          <w:sz w:val="24"/>
        </w:rPr>
      </w:pPr>
    </w:p>
    <w:p>
      <w:pPr>
        <w:pStyle w:val="ListParagraph"/>
        <w:numPr>
          <w:ilvl w:val="0"/>
          <w:numId w:val="47"/>
        </w:numPr>
        <w:tabs>
          <w:tab w:pos="1140" w:val="left" w:leader="none"/>
        </w:tabs>
        <w:spacing w:line="278" w:lineRule="auto" w:before="1" w:after="0"/>
        <w:ind w:left="726" w:right="696" w:firstLine="0"/>
        <w:jc w:val="both"/>
        <w:rPr>
          <w:sz w:val="20"/>
        </w:rPr>
      </w:pPr>
      <w:r>
        <w:rPr>
          <w:sz w:val="20"/>
        </w:rPr>
        <w:t>Komisyon bu maddenin 3 ve 4. paragraflarında atıfta bulunulan hususlara yönelik olarak ve 93(2) maddesinde atıfta bulunulan inceleme usulü uyarınca standart sözleşme maddeleri</w:t>
      </w:r>
      <w:r>
        <w:rPr>
          <w:spacing w:val="-27"/>
          <w:sz w:val="20"/>
        </w:rPr>
        <w:t> </w:t>
      </w:r>
      <w:r>
        <w:rPr>
          <w:sz w:val="20"/>
        </w:rPr>
        <w:t>oluşturabilir.</w:t>
      </w:r>
    </w:p>
    <w:p>
      <w:pPr>
        <w:pStyle w:val="BodyText"/>
        <w:rPr>
          <w:sz w:val="22"/>
        </w:rPr>
      </w:pPr>
    </w:p>
    <w:p>
      <w:pPr>
        <w:pStyle w:val="BodyText"/>
        <w:spacing w:before="5"/>
        <w:rPr>
          <w:sz w:val="24"/>
        </w:rPr>
      </w:pPr>
    </w:p>
    <w:p>
      <w:pPr>
        <w:pStyle w:val="ListParagraph"/>
        <w:numPr>
          <w:ilvl w:val="0"/>
          <w:numId w:val="47"/>
        </w:numPr>
        <w:tabs>
          <w:tab w:pos="955" w:val="left" w:leader="none"/>
        </w:tabs>
        <w:spacing w:line="240" w:lineRule="auto" w:before="0" w:after="0"/>
        <w:ind w:left="954" w:right="0" w:hanging="228"/>
        <w:jc w:val="both"/>
        <w:rPr>
          <w:sz w:val="20"/>
        </w:rPr>
      </w:pPr>
      <w:r>
        <w:rPr>
          <w:sz w:val="20"/>
        </w:rPr>
        <w:t>Bir denetim makamı bu maddenin 3 ve 4. paragraflarında atıfta bulunulan hususlara yönelik olarak</w:t>
      </w:r>
      <w:r>
        <w:rPr>
          <w:spacing w:val="13"/>
          <w:sz w:val="20"/>
        </w:rPr>
        <w:t> </w:t>
      </w:r>
      <w:r>
        <w:rPr>
          <w:sz w:val="20"/>
        </w:rPr>
        <w:t>ve</w:t>
      </w:r>
    </w:p>
    <w:p>
      <w:pPr>
        <w:pStyle w:val="BodyText"/>
        <w:spacing w:before="34"/>
        <w:ind w:left="726"/>
        <w:jc w:val="both"/>
      </w:pPr>
      <w:r>
        <w:rPr/>
        <w:t>63. maddede atıfta bulunulan tutarlık mekanizması uyarınca standart sözleşme maddeleri kabul edebilir.</w:t>
      </w:r>
    </w:p>
    <w:p>
      <w:pPr>
        <w:pStyle w:val="BodyText"/>
        <w:rPr>
          <w:sz w:val="22"/>
        </w:rPr>
      </w:pPr>
    </w:p>
    <w:p>
      <w:pPr>
        <w:pStyle w:val="BodyText"/>
        <w:spacing w:before="8"/>
        <w:rPr>
          <w:sz w:val="27"/>
        </w:rPr>
      </w:pPr>
    </w:p>
    <w:p>
      <w:pPr>
        <w:pStyle w:val="ListParagraph"/>
        <w:numPr>
          <w:ilvl w:val="0"/>
          <w:numId w:val="49"/>
        </w:numPr>
        <w:tabs>
          <w:tab w:pos="1140" w:val="left" w:leader="none"/>
        </w:tabs>
        <w:spacing w:line="278" w:lineRule="auto" w:before="0" w:after="0"/>
        <w:ind w:left="726" w:right="700" w:firstLine="0"/>
        <w:jc w:val="both"/>
        <w:rPr>
          <w:sz w:val="20"/>
        </w:rPr>
      </w:pPr>
      <w:r>
        <w:rPr>
          <w:sz w:val="20"/>
        </w:rPr>
        <w:t>3 ve 4. paragraflarda atıfta bulunulan sözleşme veya diğer hukuki tasarruflar elektronik format da dahil olmak üzere yazılı olarak</w:t>
      </w:r>
      <w:r>
        <w:rPr>
          <w:spacing w:val="5"/>
          <w:sz w:val="20"/>
        </w:rPr>
        <w:t> </w:t>
      </w:r>
      <w:r>
        <w:rPr>
          <w:sz w:val="20"/>
        </w:rPr>
        <w:t>hazırlanır.</w:t>
      </w:r>
    </w:p>
    <w:p>
      <w:pPr>
        <w:pStyle w:val="BodyText"/>
        <w:rPr>
          <w:sz w:val="22"/>
        </w:rPr>
      </w:pPr>
    </w:p>
    <w:p>
      <w:pPr>
        <w:pStyle w:val="BodyText"/>
        <w:spacing w:before="6"/>
        <w:rPr>
          <w:sz w:val="24"/>
        </w:rPr>
      </w:pPr>
    </w:p>
    <w:p>
      <w:pPr>
        <w:pStyle w:val="ListParagraph"/>
        <w:numPr>
          <w:ilvl w:val="0"/>
          <w:numId w:val="49"/>
        </w:numPr>
        <w:tabs>
          <w:tab w:pos="1061" w:val="left" w:leader="none"/>
        </w:tabs>
        <w:spacing w:line="276" w:lineRule="auto" w:before="0" w:after="0"/>
        <w:ind w:left="726" w:right="701" w:firstLine="0"/>
        <w:jc w:val="both"/>
        <w:rPr>
          <w:sz w:val="20"/>
        </w:rPr>
      </w:pPr>
      <w:r>
        <w:rPr>
          <w:sz w:val="20"/>
        </w:rPr>
        <w:t>82, 83 ve 84. maddelere halel gelmeksizin, bir işleyicinin işleme amaçları ve yöntemlerini belirleyerek bu Tüzük’ü ihlal etmesi durumunda, işleyici bu işleme faaliyeti açısından bir kontrolör olarak değerlendirilir.</w:t>
      </w:r>
    </w:p>
    <w:p>
      <w:pPr>
        <w:pStyle w:val="BodyText"/>
        <w:rPr>
          <w:sz w:val="23"/>
        </w:rPr>
      </w:pPr>
    </w:p>
    <w:p>
      <w:pPr>
        <w:pStyle w:val="BodyText"/>
        <w:spacing w:line="276" w:lineRule="auto" w:before="1"/>
        <w:ind w:left="5035" w:right="5053"/>
        <w:jc w:val="center"/>
      </w:pPr>
      <w:r>
        <w:rPr/>
        <w:t>Madde 29</w:t>
      </w:r>
    </w:p>
    <w:p>
      <w:pPr>
        <w:pStyle w:val="BodyText"/>
        <w:spacing w:before="7"/>
        <w:rPr>
          <w:sz w:val="22"/>
        </w:rPr>
      </w:pPr>
    </w:p>
    <w:p>
      <w:pPr>
        <w:pStyle w:val="Heading1"/>
        <w:spacing w:line="278" w:lineRule="auto"/>
        <w:ind w:left="2928" w:right="2947"/>
      </w:pPr>
      <w:r>
        <w:rPr/>
        <w:t>Kontrolör veya işleyicinin yetkisi kapsamındaki işleme faaliyeti</w:t>
      </w:r>
    </w:p>
    <w:p>
      <w:pPr>
        <w:pStyle w:val="BodyText"/>
        <w:rPr>
          <w:b/>
          <w:sz w:val="22"/>
        </w:rPr>
      </w:pPr>
    </w:p>
    <w:p>
      <w:pPr>
        <w:pStyle w:val="BodyText"/>
        <w:spacing w:before="6"/>
        <w:rPr>
          <w:b/>
          <w:sz w:val="24"/>
        </w:rPr>
      </w:pPr>
    </w:p>
    <w:p>
      <w:pPr>
        <w:pStyle w:val="BodyText"/>
        <w:spacing w:line="276" w:lineRule="auto"/>
        <w:ind w:left="726" w:right="694"/>
        <w:jc w:val="both"/>
      </w:pPr>
      <w:r>
        <w:rPr/>
        <w:t>İşleyici ve kontrolör ya da işleyicinin yetkisi ile hareket eden ve kişisel verilere erişimi bulunan herhangi bir kişi, Birlik </w:t>
      </w:r>
      <w:r>
        <w:rPr>
          <w:spacing w:val="-3"/>
        </w:rPr>
        <w:t>ya </w:t>
      </w:r>
      <w:r>
        <w:rPr/>
        <w:t>da üye devlet hukuku çerçevesinde bu yönde hareket etmesinin gerekmemesi durumunda, kontrolörden aldığı talimatlar haricinde bu verileri</w:t>
      </w:r>
      <w:r>
        <w:rPr>
          <w:spacing w:val="-5"/>
        </w:rPr>
        <w:t> </w:t>
      </w:r>
      <w:r>
        <w:rPr/>
        <w:t>işleyemez.</w:t>
      </w:r>
    </w:p>
    <w:p>
      <w:pPr>
        <w:pStyle w:val="BodyText"/>
        <w:spacing w:before="1"/>
        <w:rPr>
          <w:sz w:val="23"/>
        </w:rPr>
      </w:pPr>
    </w:p>
    <w:p>
      <w:pPr>
        <w:pStyle w:val="BodyText"/>
        <w:spacing w:line="276" w:lineRule="auto"/>
        <w:ind w:left="5035" w:right="5053"/>
        <w:jc w:val="center"/>
      </w:pPr>
      <w:r>
        <w:rPr/>
        <w:t>Madde 30</w:t>
      </w:r>
    </w:p>
    <w:p>
      <w:pPr>
        <w:pStyle w:val="BodyText"/>
        <w:spacing w:before="7"/>
        <w:rPr>
          <w:sz w:val="22"/>
        </w:rPr>
      </w:pPr>
    </w:p>
    <w:p>
      <w:pPr>
        <w:pStyle w:val="Heading1"/>
        <w:spacing w:line="276" w:lineRule="auto" w:before="1"/>
        <w:ind w:left="4028" w:right="4046"/>
      </w:pPr>
      <w:r>
        <w:rPr/>
        <w:t>İşleme faaliyetlerinin kayıtları</w:t>
      </w:r>
    </w:p>
    <w:p>
      <w:pPr>
        <w:pStyle w:val="BodyText"/>
        <w:rPr>
          <w:b/>
          <w:sz w:val="22"/>
        </w:rPr>
      </w:pPr>
    </w:p>
    <w:p>
      <w:pPr>
        <w:pStyle w:val="BodyText"/>
        <w:spacing w:before="9"/>
        <w:rPr>
          <w:b/>
          <w:sz w:val="24"/>
        </w:rPr>
      </w:pPr>
    </w:p>
    <w:p>
      <w:pPr>
        <w:pStyle w:val="ListParagraph"/>
        <w:numPr>
          <w:ilvl w:val="0"/>
          <w:numId w:val="50"/>
        </w:numPr>
        <w:tabs>
          <w:tab w:pos="987" w:val="left" w:leader="none"/>
        </w:tabs>
        <w:spacing w:line="276" w:lineRule="auto" w:before="1" w:after="0"/>
        <w:ind w:left="726" w:right="699" w:firstLine="0"/>
        <w:jc w:val="both"/>
        <w:rPr>
          <w:sz w:val="20"/>
        </w:rPr>
      </w:pPr>
      <w:r>
        <w:rPr>
          <w:sz w:val="20"/>
        </w:rPr>
        <w:t>Her kontrolör ve, uygun olduğu hallerde, kontrolörün temsilcisi kendi sorumluluğu altındaki işleme faaliyetlerine ilişkin bir kayıt tutar. Bu kayıt aşağıdaki bilgilerin tamamını ihtiva</w:t>
      </w:r>
      <w:r>
        <w:rPr>
          <w:spacing w:val="-13"/>
          <w:sz w:val="20"/>
        </w:rPr>
        <w:t> </w:t>
      </w:r>
      <w:r>
        <w:rPr>
          <w:sz w:val="20"/>
        </w:rPr>
        <w:t>eder:</w:t>
      </w:r>
    </w:p>
    <w:p>
      <w:pPr>
        <w:pStyle w:val="BodyText"/>
        <w:spacing w:before="6"/>
        <w:rPr>
          <w:sz w:val="23"/>
        </w:rPr>
      </w:pPr>
    </w:p>
    <w:p>
      <w:pPr>
        <w:pStyle w:val="ListParagraph"/>
        <w:numPr>
          <w:ilvl w:val="0"/>
          <w:numId w:val="51"/>
        </w:numPr>
        <w:tabs>
          <w:tab w:pos="1032" w:val="left" w:leader="none"/>
        </w:tabs>
        <w:spacing w:line="276" w:lineRule="auto" w:before="0" w:after="0"/>
        <w:ind w:left="726" w:right="701" w:firstLine="0"/>
        <w:jc w:val="both"/>
        <w:rPr>
          <w:sz w:val="20"/>
        </w:rPr>
      </w:pPr>
      <w:r>
        <w:rPr>
          <w:sz w:val="20"/>
        </w:rPr>
        <w:t>kontrolör ve, uygun olduğu hallerde, ortak kontrolör, kontrolörün temsilcisi ve veri koruma görevlisinin isim ve irtibat</w:t>
      </w:r>
      <w:r>
        <w:rPr>
          <w:spacing w:val="1"/>
          <w:sz w:val="20"/>
        </w:rPr>
        <w:t> </w:t>
      </w:r>
      <w:r>
        <w:rPr>
          <w:sz w:val="20"/>
        </w:rPr>
        <w:t>bilgileri;</w:t>
      </w:r>
    </w:p>
    <w:p>
      <w:pPr>
        <w:pStyle w:val="BodyText"/>
        <w:spacing w:before="1"/>
        <w:rPr>
          <w:sz w:val="23"/>
        </w:rPr>
      </w:pPr>
    </w:p>
    <w:p>
      <w:pPr>
        <w:pStyle w:val="ListParagraph"/>
        <w:numPr>
          <w:ilvl w:val="0"/>
          <w:numId w:val="51"/>
        </w:numPr>
        <w:tabs>
          <w:tab w:pos="1027" w:val="left" w:leader="none"/>
        </w:tabs>
        <w:spacing w:line="240" w:lineRule="auto" w:before="0" w:after="0"/>
        <w:ind w:left="1026" w:right="0" w:hanging="300"/>
        <w:jc w:val="both"/>
        <w:rPr>
          <w:sz w:val="20"/>
        </w:rPr>
      </w:pPr>
      <w:r>
        <w:rPr>
          <w:sz w:val="20"/>
        </w:rPr>
        <w:t>işleme</w:t>
      </w:r>
      <w:r>
        <w:rPr>
          <w:spacing w:val="-2"/>
          <w:sz w:val="20"/>
        </w:rPr>
        <w:t> </w:t>
      </w:r>
      <w:r>
        <w:rPr>
          <w:sz w:val="20"/>
        </w:rPr>
        <w:t>amaçları;</w:t>
      </w:r>
    </w:p>
    <w:p>
      <w:pPr>
        <w:spacing w:after="0" w:line="240"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51"/>
        </w:numPr>
        <w:tabs>
          <w:tab w:pos="1017" w:val="left" w:leader="none"/>
        </w:tabs>
        <w:spacing w:line="240" w:lineRule="auto" w:before="66" w:after="0"/>
        <w:ind w:left="1016" w:right="0" w:hanging="290"/>
        <w:jc w:val="left"/>
        <w:rPr>
          <w:sz w:val="20"/>
        </w:rPr>
      </w:pPr>
      <w:r>
        <w:rPr>
          <w:sz w:val="20"/>
        </w:rPr>
        <w:t>veri sahibi kategorileri ve kişisel veri kategorileriyle ilgili bir</w:t>
      </w:r>
      <w:r>
        <w:rPr>
          <w:spacing w:val="-13"/>
          <w:sz w:val="20"/>
        </w:rPr>
        <w:t> </w:t>
      </w:r>
      <w:r>
        <w:rPr>
          <w:sz w:val="20"/>
        </w:rPr>
        <w:t>açıklama;</w:t>
      </w:r>
    </w:p>
    <w:p>
      <w:pPr>
        <w:pStyle w:val="BodyText"/>
        <w:spacing w:before="4"/>
        <w:rPr>
          <w:sz w:val="30"/>
        </w:rPr>
      </w:pPr>
    </w:p>
    <w:p>
      <w:pPr>
        <w:pStyle w:val="ListParagraph"/>
        <w:numPr>
          <w:ilvl w:val="0"/>
          <w:numId w:val="51"/>
        </w:numPr>
        <w:tabs>
          <w:tab w:pos="1101" w:val="left" w:leader="none"/>
        </w:tabs>
        <w:spacing w:line="276" w:lineRule="auto" w:before="0" w:after="0"/>
        <w:ind w:left="1022" w:right="696" w:hanging="296"/>
        <w:jc w:val="left"/>
        <w:rPr>
          <w:sz w:val="20"/>
        </w:rPr>
      </w:pPr>
      <w:r>
        <w:rPr>
          <w:sz w:val="20"/>
        </w:rPr>
        <w:t>üçüncü ülkeler veya uluslararası kuruluşlardaki alıcılar da dahil olmak üzere, kişisel verilerin açıklandığı veya açıklanacağı alıcı</w:t>
      </w:r>
      <w:r>
        <w:rPr>
          <w:spacing w:val="-2"/>
          <w:sz w:val="20"/>
        </w:rPr>
        <w:t> </w:t>
      </w:r>
      <w:r>
        <w:rPr>
          <w:sz w:val="20"/>
        </w:rPr>
        <w:t>kategorileri;</w:t>
      </w:r>
    </w:p>
    <w:p>
      <w:pPr>
        <w:pStyle w:val="BodyText"/>
        <w:spacing w:before="1"/>
        <w:rPr>
          <w:sz w:val="23"/>
        </w:rPr>
      </w:pPr>
    </w:p>
    <w:p>
      <w:pPr>
        <w:pStyle w:val="ListParagraph"/>
        <w:numPr>
          <w:ilvl w:val="0"/>
          <w:numId w:val="51"/>
        </w:numPr>
        <w:tabs>
          <w:tab w:pos="1080" w:val="left" w:leader="none"/>
        </w:tabs>
        <w:spacing w:line="276" w:lineRule="auto" w:before="0" w:after="0"/>
        <w:ind w:left="1022" w:right="695" w:hanging="296"/>
        <w:jc w:val="both"/>
        <w:rPr>
          <w:sz w:val="20"/>
        </w:rPr>
      </w:pPr>
      <w:r>
        <w:rPr>
          <w:sz w:val="20"/>
        </w:rPr>
        <w:t>uygun olduğu hallerde, üçüncü bir ülke veya uluslararası bir kuruluşun tanımlanması ve, 49(1) maddesinin ikinci alt paragrafında atıfta bulunulan aktarımlar olması halinde, uygun güvencelere ilişkin belgelendirme de dahil olmak üzere, söz konusu üçüncü ülke veya uluslararası kuruluşa yönelik kişisel veri</w:t>
      </w:r>
      <w:r>
        <w:rPr>
          <w:spacing w:val="-4"/>
          <w:sz w:val="20"/>
        </w:rPr>
        <w:t> </w:t>
      </w:r>
      <w:r>
        <w:rPr>
          <w:sz w:val="20"/>
        </w:rPr>
        <w:t>aktarımları;</w:t>
      </w:r>
    </w:p>
    <w:p>
      <w:pPr>
        <w:pStyle w:val="BodyText"/>
        <w:rPr>
          <w:sz w:val="24"/>
        </w:rPr>
      </w:pPr>
    </w:p>
    <w:p>
      <w:pPr>
        <w:pStyle w:val="ListParagraph"/>
        <w:numPr>
          <w:ilvl w:val="0"/>
          <w:numId w:val="51"/>
        </w:numPr>
        <w:tabs>
          <w:tab w:pos="972" w:val="left" w:leader="none"/>
        </w:tabs>
        <w:spacing w:line="240" w:lineRule="auto" w:before="1" w:after="0"/>
        <w:ind w:left="971" w:right="0" w:hanging="245"/>
        <w:jc w:val="left"/>
        <w:rPr>
          <w:sz w:val="20"/>
        </w:rPr>
      </w:pPr>
      <w:r>
        <w:rPr>
          <w:sz w:val="20"/>
        </w:rPr>
        <w:t>mümkün olması halinde, farklı kategorilerdeki verilerin silinmesiyle ilgili öngörülen süre</w:t>
      </w:r>
      <w:r>
        <w:rPr>
          <w:spacing w:val="-28"/>
          <w:sz w:val="20"/>
        </w:rPr>
        <w:t> </w:t>
      </w:r>
      <w:r>
        <w:rPr>
          <w:sz w:val="20"/>
        </w:rPr>
        <w:t>sınırları;</w:t>
      </w:r>
    </w:p>
    <w:p>
      <w:pPr>
        <w:pStyle w:val="ListParagraph"/>
        <w:numPr>
          <w:ilvl w:val="0"/>
          <w:numId w:val="51"/>
        </w:numPr>
        <w:tabs>
          <w:tab w:pos="1051" w:val="left" w:leader="none"/>
        </w:tabs>
        <w:spacing w:line="276" w:lineRule="auto" w:before="118" w:after="0"/>
        <w:ind w:left="726" w:right="701" w:firstLine="0"/>
        <w:jc w:val="left"/>
        <w:rPr>
          <w:sz w:val="20"/>
        </w:rPr>
      </w:pPr>
      <w:r>
        <w:rPr>
          <w:sz w:val="20"/>
        </w:rPr>
        <w:t>mümkün olması halinde, 32(1) maddesinde atıfta bulunulan teknik ve düzenlemeye ilişkin güvenlik tedbirlerine yönelik genel bir</w:t>
      </w:r>
      <w:r>
        <w:rPr>
          <w:spacing w:val="2"/>
          <w:sz w:val="20"/>
        </w:rPr>
        <w:t> </w:t>
      </w:r>
      <w:r>
        <w:rPr>
          <w:sz w:val="20"/>
        </w:rPr>
        <w:t>açıklama.</w:t>
      </w:r>
    </w:p>
    <w:p>
      <w:pPr>
        <w:pStyle w:val="BodyText"/>
        <w:rPr>
          <w:sz w:val="22"/>
        </w:rPr>
      </w:pPr>
    </w:p>
    <w:p>
      <w:pPr>
        <w:pStyle w:val="BodyText"/>
        <w:spacing w:before="5"/>
        <w:rPr>
          <w:sz w:val="24"/>
        </w:rPr>
      </w:pPr>
    </w:p>
    <w:p>
      <w:pPr>
        <w:pStyle w:val="ListParagraph"/>
        <w:numPr>
          <w:ilvl w:val="0"/>
          <w:numId w:val="50"/>
        </w:numPr>
        <w:tabs>
          <w:tab w:pos="984" w:val="left" w:leader="none"/>
        </w:tabs>
        <w:spacing w:line="276" w:lineRule="auto" w:before="1" w:after="0"/>
        <w:ind w:left="726" w:right="702" w:firstLine="0"/>
        <w:jc w:val="left"/>
        <w:rPr>
          <w:sz w:val="20"/>
        </w:rPr>
      </w:pPr>
      <w:r>
        <w:rPr>
          <w:sz w:val="20"/>
        </w:rPr>
        <w:t>Her işleyici ve, uygun olduğu hallerde, işleyicinin temsilcisi bir kontrolör adına gerçekleştirilen tüm kategorilerdeki işleme faaliyetlerine ilişkin olarak aşağıdakileri ihtiva eden bir kayıt</w:t>
      </w:r>
      <w:r>
        <w:rPr>
          <w:spacing w:val="-16"/>
          <w:sz w:val="20"/>
        </w:rPr>
        <w:t> </w:t>
      </w:r>
      <w:r>
        <w:rPr>
          <w:sz w:val="20"/>
        </w:rPr>
        <w:t>tutar:</w:t>
      </w:r>
    </w:p>
    <w:p>
      <w:pPr>
        <w:pStyle w:val="BodyText"/>
        <w:spacing w:before="3"/>
        <w:rPr>
          <w:sz w:val="23"/>
        </w:rPr>
      </w:pPr>
    </w:p>
    <w:p>
      <w:pPr>
        <w:pStyle w:val="ListParagraph"/>
        <w:numPr>
          <w:ilvl w:val="0"/>
          <w:numId w:val="52"/>
        </w:numPr>
        <w:tabs>
          <w:tab w:pos="1051" w:val="left" w:leader="none"/>
        </w:tabs>
        <w:spacing w:line="276" w:lineRule="auto" w:before="0" w:after="0"/>
        <w:ind w:left="1022" w:right="696" w:hanging="296"/>
        <w:jc w:val="left"/>
        <w:rPr>
          <w:sz w:val="20"/>
        </w:rPr>
      </w:pPr>
      <w:r>
        <w:rPr>
          <w:sz w:val="20"/>
        </w:rPr>
        <w:t>işleyici veya işleyiciler ile işleyicinin adına hareket ettiği her kontrolörün ve, uygun olduğu hallerde, kontrolör ya da işleyicinin temsilcisi ve veri koruma görevlisinin isim ve irtibat</w:t>
      </w:r>
      <w:r>
        <w:rPr>
          <w:spacing w:val="-18"/>
          <w:sz w:val="20"/>
        </w:rPr>
        <w:t> </w:t>
      </w:r>
      <w:r>
        <w:rPr>
          <w:sz w:val="20"/>
        </w:rPr>
        <w:t>bilgileri;</w:t>
      </w:r>
    </w:p>
    <w:p>
      <w:pPr>
        <w:pStyle w:val="BodyText"/>
        <w:spacing w:before="8"/>
        <w:rPr>
          <w:sz w:val="23"/>
        </w:rPr>
      </w:pPr>
    </w:p>
    <w:p>
      <w:pPr>
        <w:pStyle w:val="ListParagraph"/>
        <w:numPr>
          <w:ilvl w:val="0"/>
          <w:numId w:val="52"/>
        </w:numPr>
        <w:tabs>
          <w:tab w:pos="1027" w:val="left" w:leader="none"/>
        </w:tabs>
        <w:spacing w:line="240" w:lineRule="auto" w:before="0" w:after="0"/>
        <w:ind w:left="1026" w:right="0" w:hanging="300"/>
        <w:jc w:val="left"/>
        <w:rPr>
          <w:sz w:val="20"/>
        </w:rPr>
      </w:pPr>
      <w:r>
        <w:rPr>
          <w:sz w:val="20"/>
        </w:rPr>
        <w:t>her işleyici adına gerçekleştirilen işleme</w:t>
      </w:r>
      <w:r>
        <w:rPr>
          <w:spacing w:val="-9"/>
          <w:sz w:val="20"/>
        </w:rPr>
        <w:t> </w:t>
      </w:r>
      <w:r>
        <w:rPr>
          <w:sz w:val="20"/>
        </w:rPr>
        <w:t>kategorileri;</w:t>
      </w:r>
    </w:p>
    <w:p>
      <w:pPr>
        <w:pStyle w:val="BodyText"/>
        <w:spacing w:before="6"/>
        <w:rPr>
          <w:sz w:val="26"/>
        </w:rPr>
      </w:pPr>
    </w:p>
    <w:p>
      <w:pPr>
        <w:pStyle w:val="ListParagraph"/>
        <w:numPr>
          <w:ilvl w:val="0"/>
          <w:numId w:val="52"/>
        </w:numPr>
        <w:tabs>
          <w:tab w:pos="1072" w:val="left" w:leader="none"/>
        </w:tabs>
        <w:spacing w:line="276" w:lineRule="auto" w:before="0" w:after="0"/>
        <w:ind w:left="1022" w:right="693" w:hanging="296"/>
        <w:jc w:val="both"/>
        <w:rPr>
          <w:sz w:val="20"/>
        </w:rPr>
      </w:pPr>
      <w:r>
        <w:rPr>
          <w:sz w:val="20"/>
        </w:rPr>
        <w:t>uygun olduğu hallerde, üçüncü bir ülke veya uluslararası bir kuruluşun tanımlanması ve, 49(1) maddesinin ikinci alt paragrafında atıfta bulunulan aktarımlar olması halinde, uygun güvencelere ilişkin belgelendirme de dahil olmak üzere, söz konusu üçüncü ülke veya uluslararası kuruluşa yönelik kişisel veri</w:t>
      </w:r>
      <w:r>
        <w:rPr>
          <w:spacing w:val="-4"/>
          <w:sz w:val="20"/>
        </w:rPr>
        <w:t> </w:t>
      </w:r>
      <w:r>
        <w:rPr>
          <w:sz w:val="20"/>
        </w:rPr>
        <w:t>aktarımları;</w:t>
      </w:r>
    </w:p>
    <w:p>
      <w:pPr>
        <w:pStyle w:val="BodyText"/>
        <w:spacing w:before="8"/>
        <w:rPr>
          <w:sz w:val="23"/>
        </w:rPr>
      </w:pPr>
    </w:p>
    <w:p>
      <w:pPr>
        <w:pStyle w:val="ListParagraph"/>
        <w:numPr>
          <w:ilvl w:val="0"/>
          <w:numId w:val="52"/>
        </w:numPr>
        <w:tabs>
          <w:tab w:pos="1051" w:val="left" w:leader="none"/>
        </w:tabs>
        <w:spacing w:line="276" w:lineRule="auto" w:before="0" w:after="0"/>
        <w:ind w:left="726" w:right="701" w:firstLine="0"/>
        <w:jc w:val="left"/>
        <w:rPr>
          <w:sz w:val="20"/>
        </w:rPr>
      </w:pPr>
      <w:r>
        <w:rPr>
          <w:sz w:val="20"/>
        </w:rPr>
        <w:t>mümkün olması halinde, 32(1) maddesinde atıfta bulunulan teknik ve düzenlemeye ilişkin güvenlik tedbirlerine yönelik genel bir</w:t>
      </w:r>
      <w:r>
        <w:rPr>
          <w:spacing w:val="2"/>
          <w:sz w:val="20"/>
        </w:rPr>
        <w:t> </w:t>
      </w:r>
      <w:r>
        <w:rPr>
          <w:sz w:val="20"/>
        </w:rPr>
        <w:t>açıklama.</w:t>
      </w:r>
    </w:p>
    <w:p>
      <w:pPr>
        <w:pStyle w:val="BodyText"/>
        <w:spacing w:before="4"/>
        <w:rPr>
          <w:sz w:val="30"/>
        </w:rPr>
      </w:pPr>
    </w:p>
    <w:p>
      <w:pPr>
        <w:pStyle w:val="ListParagraph"/>
        <w:numPr>
          <w:ilvl w:val="0"/>
          <w:numId w:val="50"/>
        </w:numPr>
        <w:tabs>
          <w:tab w:pos="984" w:val="left" w:leader="none"/>
        </w:tabs>
        <w:spacing w:line="276" w:lineRule="auto" w:before="0" w:after="0"/>
        <w:ind w:left="726" w:right="678" w:firstLine="0"/>
        <w:jc w:val="left"/>
        <w:rPr>
          <w:sz w:val="20"/>
        </w:rPr>
      </w:pPr>
      <w:r>
        <w:rPr>
          <w:sz w:val="20"/>
        </w:rPr>
        <w:t>1 ve 2. paragraflarda atıfta bulunulan kayıtlar elektronik format da dahil olmak üzere yazılı olarak tutulur.</w:t>
      </w:r>
    </w:p>
    <w:p>
      <w:pPr>
        <w:pStyle w:val="BodyText"/>
        <w:spacing w:before="10"/>
        <w:rPr>
          <w:sz w:val="22"/>
        </w:rPr>
      </w:pPr>
    </w:p>
    <w:p>
      <w:pPr>
        <w:pStyle w:val="ListParagraph"/>
        <w:numPr>
          <w:ilvl w:val="0"/>
          <w:numId w:val="50"/>
        </w:numPr>
        <w:tabs>
          <w:tab w:pos="975" w:val="left" w:leader="none"/>
        </w:tabs>
        <w:spacing w:line="278" w:lineRule="auto" w:before="0" w:after="0"/>
        <w:ind w:left="726" w:right="700" w:firstLine="0"/>
        <w:jc w:val="left"/>
        <w:rPr>
          <w:sz w:val="20"/>
        </w:rPr>
      </w:pPr>
      <w:r>
        <w:rPr>
          <w:sz w:val="20"/>
        </w:rPr>
        <w:t>Kontrolör ve işleyici ile, uygun olduğu hallerde, kontrolörün veya işleyicinin temsilcisi, talep üzerine, kayıtları denetim makamına</w:t>
      </w:r>
      <w:r>
        <w:rPr>
          <w:spacing w:val="-2"/>
          <w:sz w:val="20"/>
        </w:rPr>
        <w:t> </w:t>
      </w:r>
      <w:r>
        <w:rPr>
          <w:sz w:val="20"/>
        </w:rPr>
        <w:t>sağlar.</w:t>
      </w:r>
    </w:p>
    <w:p>
      <w:pPr>
        <w:pStyle w:val="BodyText"/>
        <w:spacing w:before="9"/>
        <w:rPr>
          <w:sz w:val="22"/>
        </w:rPr>
      </w:pPr>
    </w:p>
    <w:p>
      <w:pPr>
        <w:pStyle w:val="ListParagraph"/>
        <w:numPr>
          <w:ilvl w:val="0"/>
          <w:numId w:val="50"/>
        </w:numPr>
        <w:tabs>
          <w:tab w:pos="951" w:val="left" w:leader="none"/>
        </w:tabs>
        <w:spacing w:line="276" w:lineRule="auto" w:before="0" w:after="0"/>
        <w:ind w:left="726" w:right="695" w:firstLine="0"/>
        <w:jc w:val="both"/>
        <w:rPr>
          <w:sz w:val="20"/>
        </w:rPr>
      </w:pPr>
      <w:r>
        <w:rPr>
          <w:sz w:val="20"/>
        </w:rPr>
        <w:t>Gerçekleştirdiği işleme faaliyetinin veri sahiplerinin hakları ve özgürlükleri açısından bir riske sebebiyet vermesinin muhtemel olmaması, işleme faaliyetinin nadiren gerçekleştirilmemesi veya işleme faaliyetinin 9(1) maddesinde atıfta bulunulan özel kategorilerdeki verileri yad a 10. maddede atıfta bulunulan mahkumiyet kararları ve ceza gerektiren suçlara ilişkin kişisel verileri kapsamaması durumunda, 1 ve 2. paragraflarda atıfta bulunulan yükümlülükler 250’den az kişi istihdam eden bir işletme veya kuruluşa uygulanmaz.</w:t>
      </w:r>
    </w:p>
    <w:p>
      <w:pPr>
        <w:pStyle w:val="BodyText"/>
        <w:spacing w:before="10"/>
        <w:rPr>
          <w:sz w:val="22"/>
        </w:rPr>
      </w:pPr>
    </w:p>
    <w:p>
      <w:pPr>
        <w:pStyle w:val="BodyText"/>
        <w:spacing w:line="278" w:lineRule="auto"/>
        <w:ind w:left="5035" w:right="5053"/>
        <w:jc w:val="center"/>
      </w:pPr>
      <w:r>
        <w:rPr/>
        <w:t>Madde 31</w:t>
      </w:r>
    </w:p>
    <w:p>
      <w:pPr>
        <w:pStyle w:val="BodyText"/>
        <w:rPr>
          <w:sz w:val="22"/>
        </w:rPr>
      </w:pPr>
    </w:p>
    <w:p>
      <w:pPr>
        <w:pStyle w:val="BodyText"/>
        <w:spacing w:before="10"/>
        <w:rPr>
          <w:sz w:val="23"/>
        </w:rPr>
      </w:pPr>
    </w:p>
    <w:p>
      <w:pPr>
        <w:pStyle w:val="Heading1"/>
        <w:spacing w:before="1"/>
      </w:pPr>
      <w:r>
        <w:rPr/>
        <w:t>Denetim makamıyla işbirliği</w:t>
      </w:r>
    </w:p>
    <w:p>
      <w:pPr>
        <w:pStyle w:val="BodyText"/>
        <w:rPr>
          <w:b/>
          <w:sz w:val="22"/>
        </w:rPr>
      </w:pPr>
    </w:p>
    <w:p>
      <w:pPr>
        <w:pStyle w:val="BodyText"/>
        <w:spacing w:before="1"/>
        <w:rPr>
          <w:b/>
          <w:sz w:val="28"/>
        </w:rPr>
      </w:pPr>
    </w:p>
    <w:p>
      <w:pPr>
        <w:pStyle w:val="BodyText"/>
        <w:spacing w:line="276" w:lineRule="auto"/>
        <w:ind w:left="726" w:right="830"/>
      </w:pPr>
      <w:r>
        <w:rPr/>
        <w:t>Kontrolör ve işleyici ile, uygun olduğu hallerde, bunların temsilcileri, talep üzerine, görevlerinin yürütülmesi ile ilgili olarak denetim makamı ile işbirliği yapar.</w:t>
      </w:r>
    </w:p>
    <w:p>
      <w:pPr>
        <w:spacing w:after="0" w:line="276" w:lineRule="auto"/>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before="66"/>
        <w:ind w:left="2207" w:right="2222"/>
        <w:jc w:val="center"/>
      </w:pPr>
      <w:r>
        <w:rPr/>
        <w:t>Kesim 2</w:t>
      </w:r>
    </w:p>
    <w:p>
      <w:pPr>
        <w:pStyle w:val="BodyText"/>
        <w:rPr>
          <w:sz w:val="26"/>
        </w:rPr>
      </w:pPr>
    </w:p>
    <w:p>
      <w:pPr>
        <w:pStyle w:val="Heading1"/>
      </w:pPr>
      <w:r>
        <w:rPr/>
        <w:t>Kişisel verilerin güvenliği</w:t>
      </w:r>
    </w:p>
    <w:p>
      <w:pPr>
        <w:pStyle w:val="BodyText"/>
        <w:rPr>
          <w:b/>
          <w:sz w:val="22"/>
        </w:rPr>
      </w:pPr>
    </w:p>
    <w:p>
      <w:pPr>
        <w:pStyle w:val="BodyText"/>
        <w:spacing w:before="5"/>
        <w:rPr>
          <w:b/>
          <w:sz w:val="27"/>
        </w:rPr>
      </w:pPr>
    </w:p>
    <w:p>
      <w:pPr>
        <w:pStyle w:val="BodyText"/>
        <w:spacing w:line="278" w:lineRule="auto" w:before="1"/>
        <w:ind w:left="5035" w:right="5053"/>
        <w:jc w:val="center"/>
      </w:pPr>
      <w:r>
        <w:rPr/>
        <w:t>Madde 32</w:t>
      </w:r>
    </w:p>
    <w:p>
      <w:pPr>
        <w:pStyle w:val="BodyText"/>
        <w:spacing w:before="5"/>
        <w:rPr>
          <w:sz w:val="22"/>
        </w:rPr>
      </w:pPr>
    </w:p>
    <w:p>
      <w:pPr>
        <w:pStyle w:val="Heading1"/>
        <w:ind w:right="2226"/>
      </w:pPr>
      <w:r>
        <w:rPr/>
        <w:t>İşleme güvenliği</w:t>
      </w:r>
    </w:p>
    <w:p>
      <w:pPr>
        <w:pStyle w:val="BodyText"/>
        <w:spacing w:before="1"/>
        <w:rPr>
          <w:b/>
          <w:sz w:val="26"/>
        </w:rPr>
      </w:pPr>
    </w:p>
    <w:p>
      <w:pPr>
        <w:pStyle w:val="ListParagraph"/>
        <w:numPr>
          <w:ilvl w:val="0"/>
          <w:numId w:val="53"/>
        </w:numPr>
        <w:tabs>
          <w:tab w:pos="996" w:val="left" w:leader="none"/>
        </w:tabs>
        <w:spacing w:line="276" w:lineRule="auto" w:before="0" w:after="0"/>
        <w:ind w:left="726" w:right="694" w:firstLine="0"/>
        <w:jc w:val="both"/>
        <w:rPr>
          <w:sz w:val="20"/>
        </w:rPr>
      </w:pPr>
      <w:r>
        <w:rPr>
          <w:sz w:val="20"/>
        </w:rPr>
        <w:t>Kontrolör ve işleyici, son teknoloji, uygulama maliyetleri ve işleme faaliyetinin mahiyeti, kapsamı, bağlamı ve amaçlarının yanı sıra gerçek kişilerin hakları ve özgürlükleri açısından çeşitli olasılıklar ve ciddiyetlere sahip riskleri dikkate alarak, risk açısından uygun bir güvenlik seviyesi sağlamak üzere, uygun olduğu hallerde, aşağıdakiler de dahil olmak üzere uygun teknik ve düzenlemeye ilişkin tedbirler uygular:</w:t>
      </w:r>
    </w:p>
    <w:p>
      <w:pPr>
        <w:pStyle w:val="BodyText"/>
        <w:spacing w:before="1"/>
        <w:rPr>
          <w:sz w:val="24"/>
        </w:rPr>
      </w:pPr>
    </w:p>
    <w:p>
      <w:pPr>
        <w:pStyle w:val="ListParagraph"/>
        <w:numPr>
          <w:ilvl w:val="0"/>
          <w:numId w:val="54"/>
        </w:numPr>
        <w:tabs>
          <w:tab w:pos="1027" w:val="left" w:leader="none"/>
        </w:tabs>
        <w:spacing w:line="240" w:lineRule="auto" w:before="0" w:after="0"/>
        <w:ind w:left="1022" w:right="0" w:hanging="296"/>
        <w:jc w:val="both"/>
        <w:rPr>
          <w:sz w:val="20"/>
        </w:rPr>
      </w:pPr>
      <w:r>
        <w:rPr>
          <w:sz w:val="20"/>
        </w:rPr>
        <w:t>kişisel verilerde takma ad kullanımı ve</w:t>
      </w:r>
      <w:r>
        <w:rPr>
          <w:spacing w:val="-9"/>
          <w:sz w:val="20"/>
        </w:rPr>
        <w:t> </w:t>
      </w:r>
      <w:r>
        <w:rPr>
          <w:sz w:val="20"/>
        </w:rPr>
        <w:t>şifreleme;</w:t>
      </w:r>
    </w:p>
    <w:p>
      <w:pPr>
        <w:pStyle w:val="BodyText"/>
        <w:spacing w:before="1"/>
        <w:rPr>
          <w:sz w:val="30"/>
        </w:rPr>
      </w:pPr>
    </w:p>
    <w:p>
      <w:pPr>
        <w:pStyle w:val="ListParagraph"/>
        <w:numPr>
          <w:ilvl w:val="0"/>
          <w:numId w:val="54"/>
        </w:numPr>
        <w:tabs>
          <w:tab w:pos="1027" w:val="left" w:leader="none"/>
        </w:tabs>
        <w:spacing w:line="278" w:lineRule="auto" w:before="0" w:after="0"/>
        <w:ind w:left="1022" w:right="1494" w:hanging="296"/>
        <w:jc w:val="left"/>
        <w:rPr>
          <w:sz w:val="20"/>
        </w:rPr>
      </w:pPr>
      <w:r>
        <w:rPr>
          <w:sz w:val="20"/>
        </w:rPr>
        <w:t>işleme sistemleri ve hizmetlerinin gizliliği, bütünlüğü, elverişliliği ve esnekliğinin sürekli olarak sağlanabilmesi;</w:t>
      </w:r>
    </w:p>
    <w:p>
      <w:pPr>
        <w:pStyle w:val="BodyText"/>
        <w:spacing w:before="4"/>
        <w:rPr>
          <w:sz w:val="24"/>
        </w:rPr>
      </w:pPr>
    </w:p>
    <w:p>
      <w:pPr>
        <w:pStyle w:val="ListParagraph"/>
        <w:numPr>
          <w:ilvl w:val="0"/>
          <w:numId w:val="54"/>
        </w:numPr>
        <w:tabs>
          <w:tab w:pos="1015" w:val="left" w:leader="none"/>
        </w:tabs>
        <w:spacing w:line="276" w:lineRule="auto" w:before="0" w:after="0"/>
        <w:ind w:left="1022" w:right="755" w:hanging="296"/>
        <w:jc w:val="left"/>
        <w:rPr>
          <w:sz w:val="20"/>
        </w:rPr>
      </w:pPr>
      <w:r>
        <w:rPr>
          <w:sz w:val="20"/>
        </w:rPr>
        <w:t>fiziksel veya teknik bir olay halinde, kişisel verilerin elverişliliği ve kişisel verilere erişimin vakitlice eski haline getirilebilmesi;</w:t>
      </w:r>
    </w:p>
    <w:p>
      <w:pPr>
        <w:pStyle w:val="BodyText"/>
        <w:spacing w:before="4"/>
        <w:rPr>
          <w:sz w:val="24"/>
        </w:rPr>
      </w:pPr>
    </w:p>
    <w:p>
      <w:pPr>
        <w:pStyle w:val="ListParagraph"/>
        <w:numPr>
          <w:ilvl w:val="0"/>
          <w:numId w:val="54"/>
        </w:numPr>
        <w:tabs>
          <w:tab w:pos="1027" w:val="left" w:leader="none"/>
        </w:tabs>
        <w:spacing w:line="276" w:lineRule="auto" w:before="0" w:after="0"/>
        <w:ind w:left="1022" w:right="749" w:hanging="296"/>
        <w:jc w:val="left"/>
        <w:rPr>
          <w:sz w:val="20"/>
        </w:rPr>
      </w:pPr>
      <w:r>
        <w:rPr>
          <w:sz w:val="20"/>
        </w:rPr>
        <w:t>işleme faaliyetinin güvenliliğinin sağlanmasına yönelik olarak teknik ve düzenlemeye ilişkin tedbirlerin etkililiğinin düzenli olarak sınanması, ölçülmesi ve değerlendirilmesine ilişkin</w:t>
      </w:r>
      <w:r>
        <w:rPr>
          <w:spacing w:val="-17"/>
          <w:sz w:val="20"/>
        </w:rPr>
        <w:t> </w:t>
      </w:r>
      <w:r>
        <w:rPr>
          <w:sz w:val="20"/>
        </w:rPr>
        <w:t>süreç.</w:t>
      </w:r>
    </w:p>
    <w:p>
      <w:pPr>
        <w:pStyle w:val="BodyText"/>
        <w:spacing w:before="4"/>
        <w:rPr>
          <w:sz w:val="24"/>
        </w:rPr>
      </w:pPr>
    </w:p>
    <w:p>
      <w:pPr>
        <w:pStyle w:val="ListParagraph"/>
        <w:numPr>
          <w:ilvl w:val="0"/>
          <w:numId w:val="53"/>
        </w:numPr>
        <w:tabs>
          <w:tab w:pos="1140" w:val="left" w:leader="none"/>
        </w:tabs>
        <w:spacing w:line="276" w:lineRule="auto" w:before="0" w:after="0"/>
        <w:ind w:left="726" w:right="700" w:firstLine="0"/>
        <w:jc w:val="both"/>
        <w:rPr>
          <w:sz w:val="20"/>
        </w:rPr>
      </w:pPr>
      <w:r>
        <w:rPr>
          <w:sz w:val="20"/>
        </w:rPr>
        <w:t>Uygun güvenlik seviyesi değerlendirilirken, iletilen, saklanan veya işlenen kişisel verilerin kazara veya yasa dışı olarak imha edilmesi, kaybı, değiştirilmesi, yetkisiz şekilde açıklanması veya bunlara erişim başta olmak üzere özellikle işleme faaliyetinin yol açtığı riskler göz önünde</w:t>
      </w:r>
      <w:r>
        <w:rPr>
          <w:spacing w:val="-30"/>
          <w:sz w:val="20"/>
        </w:rPr>
        <w:t> </w:t>
      </w:r>
      <w:r>
        <w:rPr>
          <w:sz w:val="20"/>
        </w:rPr>
        <w:t>bulundurulur.</w:t>
      </w:r>
    </w:p>
    <w:p>
      <w:pPr>
        <w:pStyle w:val="BodyText"/>
        <w:rPr>
          <w:sz w:val="22"/>
        </w:rPr>
      </w:pPr>
    </w:p>
    <w:p>
      <w:pPr>
        <w:pStyle w:val="BodyText"/>
        <w:spacing w:before="5"/>
        <w:rPr>
          <w:sz w:val="24"/>
        </w:rPr>
      </w:pPr>
    </w:p>
    <w:p>
      <w:pPr>
        <w:pStyle w:val="ListParagraph"/>
        <w:numPr>
          <w:ilvl w:val="0"/>
          <w:numId w:val="53"/>
        </w:numPr>
        <w:tabs>
          <w:tab w:pos="1140" w:val="left" w:leader="none"/>
        </w:tabs>
        <w:spacing w:line="276" w:lineRule="auto" w:before="0" w:after="0"/>
        <w:ind w:left="726" w:right="697" w:firstLine="0"/>
        <w:jc w:val="both"/>
        <w:rPr>
          <w:sz w:val="20"/>
        </w:rPr>
      </w:pPr>
      <w:r>
        <w:rPr>
          <w:sz w:val="20"/>
        </w:rPr>
        <w:t>40. maddede atıfta bulunulan onaylı davranış kuralları veya 42. maddede atıfta bulunulan onaylı belgelendirme mekanizmasına uygun hareket edilmesi bu maddenin 1. paragrafında ortaya konan gerekliliklere uygunluğun gösterilmesine ilişkin bir unsur olarak</w:t>
      </w:r>
      <w:r>
        <w:rPr>
          <w:spacing w:val="-10"/>
          <w:sz w:val="20"/>
        </w:rPr>
        <w:t> </w:t>
      </w:r>
      <w:r>
        <w:rPr>
          <w:sz w:val="20"/>
        </w:rPr>
        <w:t>kullanılabilir.</w:t>
      </w:r>
    </w:p>
    <w:p>
      <w:pPr>
        <w:pStyle w:val="BodyText"/>
        <w:rPr>
          <w:sz w:val="22"/>
        </w:rPr>
      </w:pPr>
    </w:p>
    <w:p>
      <w:pPr>
        <w:pStyle w:val="BodyText"/>
        <w:spacing w:before="8"/>
        <w:rPr>
          <w:sz w:val="24"/>
        </w:rPr>
      </w:pPr>
    </w:p>
    <w:p>
      <w:pPr>
        <w:pStyle w:val="ListParagraph"/>
        <w:numPr>
          <w:ilvl w:val="0"/>
          <w:numId w:val="53"/>
        </w:numPr>
        <w:tabs>
          <w:tab w:pos="999" w:val="left" w:leader="none"/>
        </w:tabs>
        <w:spacing w:line="276" w:lineRule="auto" w:before="0" w:after="0"/>
        <w:ind w:left="726" w:right="687" w:firstLine="0"/>
        <w:jc w:val="both"/>
        <w:rPr>
          <w:sz w:val="20"/>
        </w:rPr>
      </w:pPr>
      <w:r>
        <w:rPr>
          <w:sz w:val="20"/>
        </w:rPr>
        <w:t>Kontrolör ve işleyici kontrolör ya da işleyicinin yetkisi ile hareket eden ve kişisel verilere erişimi bulunan herhangi bir gerçek kişinin, Birlik </w:t>
      </w:r>
      <w:r>
        <w:rPr>
          <w:spacing w:val="-3"/>
          <w:sz w:val="20"/>
        </w:rPr>
        <w:t>ya </w:t>
      </w:r>
      <w:r>
        <w:rPr>
          <w:sz w:val="20"/>
        </w:rPr>
        <w:t>da üye devlet hukuku çerçevesinde bu yönde hareket etmesinin gerekmemesi durumunda, kontrolörden aldığı talimatlar haricinde bu verileri işlememesini sağlamak üzere adımlar</w:t>
      </w:r>
      <w:r>
        <w:rPr>
          <w:spacing w:val="0"/>
          <w:sz w:val="20"/>
        </w:rPr>
        <w:t> </w:t>
      </w:r>
      <w:r>
        <w:rPr>
          <w:sz w:val="20"/>
        </w:rPr>
        <w:t>atar.</w:t>
      </w:r>
    </w:p>
    <w:p>
      <w:pPr>
        <w:pStyle w:val="BodyText"/>
        <w:rPr>
          <w:sz w:val="22"/>
        </w:rPr>
      </w:pPr>
    </w:p>
    <w:p>
      <w:pPr>
        <w:pStyle w:val="BodyText"/>
        <w:spacing w:before="11"/>
        <w:rPr>
          <w:sz w:val="23"/>
        </w:rPr>
      </w:pPr>
    </w:p>
    <w:p>
      <w:pPr>
        <w:pStyle w:val="BodyText"/>
        <w:spacing w:line="278" w:lineRule="auto"/>
        <w:ind w:left="5035" w:right="5053"/>
        <w:jc w:val="center"/>
      </w:pPr>
      <w:r>
        <w:rPr/>
        <w:t>Madde 33</w:t>
      </w:r>
    </w:p>
    <w:p>
      <w:pPr>
        <w:pStyle w:val="BodyText"/>
        <w:rPr>
          <w:sz w:val="22"/>
        </w:rPr>
      </w:pPr>
    </w:p>
    <w:p>
      <w:pPr>
        <w:pStyle w:val="BodyText"/>
        <w:spacing w:before="3"/>
        <w:rPr>
          <w:sz w:val="24"/>
        </w:rPr>
      </w:pPr>
    </w:p>
    <w:p>
      <w:pPr>
        <w:pStyle w:val="Heading1"/>
        <w:ind w:left="2772" w:right="0"/>
        <w:jc w:val="left"/>
      </w:pPr>
      <w:r>
        <w:rPr/>
        <w:t>Bir kişisel veri ihlalinin denetim makamına bildirilmesi</w:t>
      </w:r>
    </w:p>
    <w:p>
      <w:pPr>
        <w:pStyle w:val="BodyText"/>
        <w:rPr>
          <w:b/>
          <w:sz w:val="27"/>
        </w:rPr>
      </w:pPr>
    </w:p>
    <w:p>
      <w:pPr>
        <w:pStyle w:val="ListParagraph"/>
        <w:numPr>
          <w:ilvl w:val="0"/>
          <w:numId w:val="55"/>
        </w:numPr>
        <w:tabs>
          <w:tab w:pos="984" w:val="left" w:leader="none"/>
        </w:tabs>
        <w:spacing w:line="276" w:lineRule="auto" w:before="0" w:after="0"/>
        <w:ind w:left="726" w:right="723" w:firstLine="0"/>
        <w:jc w:val="both"/>
        <w:rPr>
          <w:sz w:val="20"/>
        </w:rPr>
      </w:pPr>
      <w:r>
        <w:rPr>
          <w:sz w:val="20"/>
        </w:rPr>
        <w:t>Bir kişisel veri ihlali olması durumunda, kişisel veri ihlalinin gerçek kişilerin hakları ve özgürlükleri açısından bir riske sebebiyet vermesinin muhtemel olmaması haricinde, kontrolör, gereksiz gecikmeye mahal vermeden ve, uygun olması halinde, ihlalden haberdar olduktan itibaren en geç 72 saat  içerisinde, kişisel veri ihlalini 55. madde uyarınca yetkin denetim makamına</w:t>
      </w:r>
      <w:r>
        <w:rPr>
          <w:spacing w:val="-18"/>
          <w:sz w:val="20"/>
        </w:rPr>
        <w:t> </w:t>
      </w:r>
      <w:r>
        <w:rPr>
          <w:sz w:val="20"/>
        </w:rPr>
        <w:t>bildirir.</w:t>
      </w:r>
    </w:p>
    <w:p>
      <w:pPr>
        <w:pStyle w:val="BodyText"/>
        <w:rPr>
          <w:sz w:val="22"/>
        </w:rPr>
      </w:pPr>
    </w:p>
    <w:p>
      <w:pPr>
        <w:pStyle w:val="BodyText"/>
        <w:spacing w:before="11"/>
        <w:rPr>
          <w:sz w:val="23"/>
        </w:rPr>
      </w:pPr>
    </w:p>
    <w:p>
      <w:pPr>
        <w:pStyle w:val="BodyText"/>
        <w:spacing w:line="278" w:lineRule="auto"/>
        <w:ind w:left="726" w:right="726" w:firstLine="55"/>
        <w:jc w:val="both"/>
      </w:pPr>
      <w:r>
        <w:rPr/>
        <w:t>Denetim makamına yönelik bildirimin 72 saat içerisinde yapılmadığı hallerde, bu bildirimle birlikte gecikme sebeplerine de yer verilir.</w:t>
      </w:r>
    </w:p>
    <w:p>
      <w:pPr>
        <w:spacing w:after="0" w:line="278" w:lineRule="auto"/>
        <w:jc w:val="both"/>
        <w:sectPr>
          <w:pgSz w:w="11930" w:h="16850"/>
          <w:pgMar w:header="961" w:footer="0" w:top="1240" w:bottom="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before="6"/>
        <w:rPr>
          <w:sz w:val="21"/>
        </w:rPr>
      </w:pPr>
    </w:p>
    <w:p>
      <w:pPr>
        <w:pStyle w:val="ListParagraph"/>
        <w:numPr>
          <w:ilvl w:val="0"/>
          <w:numId w:val="55"/>
        </w:numPr>
        <w:tabs>
          <w:tab w:pos="1018" w:val="left" w:leader="none"/>
        </w:tabs>
        <w:spacing w:line="276" w:lineRule="auto" w:before="93" w:after="0"/>
        <w:ind w:left="726" w:right="1118" w:firstLine="0"/>
        <w:jc w:val="left"/>
        <w:rPr>
          <w:sz w:val="20"/>
        </w:rPr>
      </w:pPr>
      <w:r>
        <w:rPr>
          <w:sz w:val="20"/>
        </w:rPr>
        <w:t>İşleyici, bir kişisel veri ihlalinden haberdar olduktan sonra, herhangi bir gecikmeye mahal vermeden, kontrolöre bildirimde bulunur.</w:t>
      </w:r>
    </w:p>
    <w:p>
      <w:pPr>
        <w:pStyle w:val="BodyText"/>
        <w:spacing w:before="8"/>
        <w:rPr>
          <w:sz w:val="23"/>
        </w:rPr>
      </w:pPr>
    </w:p>
    <w:p>
      <w:pPr>
        <w:pStyle w:val="ListParagraph"/>
        <w:numPr>
          <w:ilvl w:val="0"/>
          <w:numId w:val="55"/>
        </w:numPr>
        <w:tabs>
          <w:tab w:pos="948" w:val="left" w:leader="none"/>
        </w:tabs>
        <w:spacing w:line="240" w:lineRule="auto" w:before="0" w:after="0"/>
        <w:ind w:left="947" w:right="0" w:hanging="221"/>
        <w:jc w:val="left"/>
        <w:rPr>
          <w:sz w:val="20"/>
        </w:rPr>
      </w:pPr>
      <w:r>
        <w:rPr>
          <w:sz w:val="20"/>
        </w:rPr>
        <w:t>1. paragrafta atıfta bulunulan bildirimde en</w:t>
      </w:r>
      <w:r>
        <w:rPr>
          <w:spacing w:val="-6"/>
          <w:sz w:val="20"/>
        </w:rPr>
        <w:t> </w:t>
      </w:r>
      <w:r>
        <w:rPr>
          <w:sz w:val="20"/>
        </w:rPr>
        <w:t>azından:</w:t>
      </w:r>
    </w:p>
    <w:p>
      <w:pPr>
        <w:pStyle w:val="BodyText"/>
        <w:spacing w:before="1"/>
        <w:rPr>
          <w:sz w:val="26"/>
        </w:rPr>
      </w:pPr>
    </w:p>
    <w:p>
      <w:pPr>
        <w:pStyle w:val="ListParagraph"/>
        <w:numPr>
          <w:ilvl w:val="0"/>
          <w:numId w:val="56"/>
        </w:numPr>
        <w:tabs>
          <w:tab w:pos="1027" w:val="left" w:leader="none"/>
        </w:tabs>
        <w:spacing w:line="276" w:lineRule="auto" w:before="0" w:after="0"/>
        <w:ind w:left="1022" w:right="1501" w:hanging="296"/>
        <w:jc w:val="left"/>
        <w:rPr>
          <w:sz w:val="20"/>
        </w:rPr>
      </w:pPr>
      <w:r>
        <w:rPr>
          <w:sz w:val="20"/>
        </w:rPr>
        <w:t>uygun</w:t>
      </w:r>
      <w:r>
        <w:rPr>
          <w:spacing w:val="-5"/>
          <w:sz w:val="20"/>
        </w:rPr>
        <w:t> </w:t>
      </w:r>
      <w:r>
        <w:rPr>
          <w:sz w:val="20"/>
        </w:rPr>
        <w:t>olduğu</w:t>
      </w:r>
      <w:r>
        <w:rPr>
          <w:spacing w:val="-4"/>
          <w:sz w:val="20"/>
        </w:rPr>
        <w:t> </w:t>
      </w:r>
      <w:r>
        <w:rPr>
          <w:sz w:val="20"/>
        </w:rPr>
        <w:t>hallerde,</w:t>
      </w:r>
      <w:r>
        <w:rPr>
          <w:spacing w:val="-4"/>
          <w:sz w:val="20"/>
        </w:rPr>
        <w:t> </w:t>
      </w:r>
      <w:r>
        <w:rPr>
          <w:sz w:val="20"/>
        </w:rPr>
        <w:t>ilgili</w:t>
      </w:r>
      <w:r>
        <w:rPr>
          <w:spacing w:val="-5"/>
          <w:sz w:val="20"/>
        </w:rPr>
        <w:t> </w:t>
      </w:r>
      <w:r>
        <w:rPr>
          <w:sz w:val="20"/>
        </w:rPr>
        <w:t>veri</w:t>
      </w:r>
      <w:r>
        <w:rPr>
          <w:spacing w:val="-6"/>
          <w:sz w:val="20"/>
        </w:rPr>
        <w:t> </w:t>
      </w:r>
      <w:r>
        <w:rPr>
          <w:sz w:val="20"/>
        </w:rPr>
        <w:t>sahibi</w:t>
      </w:r>
      <w:r>
        <w:rPr>
          <w:spacing w:val="-7"/>
          <w:sz w:val="20"/>
        </w:rPr>
        <w:t> </w:t>
      </w:r>
      <w:r>
        <w:rPr>
          <w:sz w:val="20"/>
        </w:rPr>
        <w:t>kategorileri</w:t>
      </w:r>
      <w:r>
        <w:rPr>
          <w:spacing w:val="-7"/>
          <w:sz w:val="20"/>
        </w:rPr>
        <w:t> </w:t>
      </w:r>
      <w:r>
        <w:rPr>
          <w:sz w:val="20"/>
        </w:rPr>
        <w:t>ve</w:t>
      </w:r>
      <w:r>
        <w:rPr>
          <w:spacing w:val="-4"/>
          <w:sz w:val="20"/>
        </w:rPr>
        <w:t> </w:t>
      </w:r>
      <w:r>
        <w:rPr>
          <w:sz w:val="20"/>
        </w:rPr>
        <w:t>yaklaşık</w:t>
      </w:r>
      <w:r>
        <w:rPr>
          <w:spacing w:val="-2"/>
          <w:sz w:val="20"/>
        </w:rPr>
        <w:t> </w:t>
      </w:r>
      <w:r>
        <w:rPr>
          <w:sz w:val="20"/>
        </w:rPr>
        <w:t>sayısı</w:t>
      </w:r>
      <w:r>
        <w:rPr>
          <w:spacing w:val="-6"/>
          <w:sz w:val="20"/>
        </w:rPr>
        <w:t> </w:t>
      </w:r>
      <w:r>
        <w:rPr>
          <w:sz w:val="20"/>
        </w:rPr>
        <w:t>ile</w:t>
      </w:r>
      <w:r>
        <w:rPr>
          <w:spacing w:val="-4"/>
          <w:sz w:val="20"/>
        </w:rPr>
        <w:t> </w:t>
      </w:r>
      <w:r>
        <w:rPr>
          <w:sz w:val="20"/>
        </w:rPr>
        <w:t>ilgili</w:t>
      </w:r>
      <w:r>
        <w:rPr>
          <w:spacing w:val="-7"/>
          <w:sz w:val="20"/>
        </w:rPr>
        <w:t> </w:t>
      </w:r>
      <w:r>
        <w:rPr>
          <w:sz w:val="20"/>
        </w:rPr>
        <w:t>kişisel</w:t>
      </w:r>
      <w:r>
        <w:rPr>
          <w:spacing w:val="-5"/>
          <w:sz w:val="20"/>
        </w:rPr>
        <w:t> </w:t>
      </w:r>
      <w:r>
        <w:rPr>
          <w:sz w:val="20"/>
        </w:rPr>
        <w:t>veri</w:t>
      </w:r>
      <w:r>
        <w:rPr>
          <w:spacing w:val="-4"/>
          <w:sz w:val="20"/>
        </w:rPr>
        <w:t> </w:t>
      </w:r>
      <w:r>
        <w:rPr>
          <w:sz w:val="20"/>
        </w:rPr>
        <w:t>kaydı kategorileri ve yaklaşık sayısı da dahil olmak üzere kişisel veri ihlalinin mahiyeti</w:t>
      </w:r>
      <w:r>
        <w:rPr>
          <w:spacing w:val="-35"/>
          <w:sz w:val="20"/>
        </w:rPr>
        <w:t> </w:t>
      </w:r>
      <w:r>
        <w:rPr>
          <w:sz w:val="20"/>
        </w:rPr>
        <w:t>açıklanır;</w:t>
      </w:r>
    </w:p>
    <w:p>
      <w:pPr>
        <w:pStyle w:val="BodyText"/>
        <w:spacing w:before="4"/>
        <w:rPr>
          <w:sz w:val="24"/>
        </w:rPr>
      </w:pPr>
    </w:p>
    <w:p>
      <w:pPr>
        <w:pStyle w:val="ListParagraph"/>
        <w:numPr>
          <w:ilvl w:val="0"/>
          <w:numId w:val="56"/>
        </w:numPr>
        <w:tabs>
          <w:tab w:pos="1027" w:val="left" w:leader="none"/>
        </w:tabs>
        <w:spacing w:line="276" w:lineRule="auto" w:before="0" w:after="0"/>
        <w:ind w:left="1022" w:right="998" w:hanging="296"/>
        <w:jc w:val="left"/>
        <w:rPr>
          <w:sz w:val="20"/>
        </w:rPr>
      </w:pPr>
      <w:r>
        <w:rPr>
          <w:sz w:val="20"/>
        </w:rPr>
        <w:t>veri koruma görevlisi veya daha fazla bilginin elde edilebileceği başka bir temas noktasının isim ve irtibat bilgileri</w:t>
      </w:r>
      <w:r>
        <w:rPr>
          <w:spacing w:val="-1"/>
          <w:sz w:val="20"/>
        </w:rPr>
        <w:t> </w:t>
      </w:r>
      <w:r>
        <w:rPr>
          <w:sz w:val="20"/>
        </w:rPr>
        <w:t>iletilir;</w:t>
      </w:r>
    </w:p>
    <w:p>
      <w:pPr>
        <w:pStyle w:val="ListParagraph"/>
        <w:numPr>
          <w:ilvl w:val="0"/>
          <w:numId w:val="56"/>
        </w:numPr>
        <w:tabs>
          <w:tab w:pos="1015" w:val="left" w:leader="none"/>
        </w:tabs>
        <w:spacing w:line="240" w:lineRule="auto" w:before="95" w:after="0"/>
        <w:ind w:left="1014" w:right="0" w:hanging="288"/>
        <w:jc w:val="left"/>
        <w:rPr>
          <w:sz w:val="20"/>
        </w:rPr>
      </w:pPr>
      <w:r>
        <w:rPr>
          <w:sz w:val="20"/>
        </w:rPr>
        <w:t>kişisel veri ihlalinin olası sonuçları</w:t>
      </w:r>
      <w:r>
        <w:rPr>
          <w:spacing w:val="-4"/>
          <w:sz w:val="20"/>
        </w:rPr>
        <w:t> </w:t>
      </w:r>
      <w:r>
        <w:rPr>
          <w:sz w:val="20"/>
        </w:rPr>
        <w:t>açıklanır;</w:t>
      </w:r>
    </w:p>
    <w:p>
      <w:pPr>
        <w:pStyle w:val="BodyText"/>
        <w:spacing w:before="2"/>
        <w:rPr>
          <w:sz w:val="26"/>
        </w:rPr>
      </w:pPr>
    </w:p>
    <w:p>
      <w:pPr>
        <w:pStyle w:val="ListParagraph"/>
        <w:numPr>
          <w:ilvl w:val="0"/>
          <w:numId w:val="56"/>
        </w:numPr>
        <w:tabs>
          <w:tab w:pos="1027" w:val="left" w:leader="none"/>
        </w:tabs>
        <w:spacing w:line="276" w:lineRule="auto" w:before="0" w:after="0"/>
        <w:ind w:left="1022" w:right="809" w:hanging="296"/>
        <w:jc w:val="left"/>
        <w:rPr>
          <w:sz w:val="20"/>
        </w:rPr>
      </w:pPr>
      <w:r>
        <w:rPr>
          <w:sz w:val="20"/>
        </w:rPr>
        <w:t>uygun olduğu hallerde, kişisel veri ihlalinin olası olumsuz etkilerinin azaltılmasına yönelik tedbirler de dahil olmak üzere kişisel veri ihlalinin ele alınması için kontrolör tarafından alınan veya alınması önerilen tedbirler</w:t>
      </w:r>
      <w:r>
        <w:rPr>
          <w:spacing w:val="-3"/>
          <w:sz w:val="20"/>
        </w:rPr>
        <w:t> </w:t>
      </w:r>
      <w:r>
        <w:rPr>
          <w:sz w:val="20"/>
        </w:rPr>
        <w:t>açıklanır.</w:t>
      </w:r>
    </w:p>
    <w:p>
      <w:pPr>
        <w:pStyle w:val="BodyText"/>
        <w:spacing w:before="6"/>
        <w:rPr>
          <w:sz w:val="24"/>
        </w:rPr>
      </w:pPr>
    </w:p>
    <w:p>
      <w:pPr>
        <w:pStyle w:val="ListParagraph"/>
        <w:numPr>
          <w:ilvl w:val="0"/>
          <w:numId w:val="55"/>
        </w:numPr>
        <w:tabs>
          <w:tab w:pos="1023" w:val="left" w:leader="none"/>
        </w:tabs>
        <w:spacing w:line="276" w:lineRule="auto" w:before="0" w:after="0"/>
        <w:ind w:left="726" w:right="693" w:firstLine="0"/>
        <w:jc w:val="both"/>
        <w:rPr>
          <w:sz w:val="20"/>
        </w:rPr>
      </w:pPr>
      <w:r>
        <w:rPr>
          <w:sz w:val="20"/>
        </w:rPr>
        <w:t>Bilgilerin aynı zamanda sağlanmasının mümkün olmadığı hallerde ve ölçüde, bilgiler gereksiz herhangi bir ek gecikmeye mahal verilmeksizin aşamalı olarak</w:t>
      </w:r>
      <w:r>
        <w:rPr>
          <w:spacing w:val="-3"/>
          <w:sz w:val="20"/>
        </w:rPr>
        <w:t> </w:t>
      </w:r>
      <w:r>
        <w:rPr>
          <w:sz w:val="20"/>
        </w:rPr>
        <w:t>sağlanabilir.</w:t>
      </w:r>
    </w:p>
    <w:p>
      <w:pPr>
        <w:pStyle w:val="BodyText"/>
        <w:rPr>
          <w:sz w:val="22"/>
        </w:rPr>
      </w:pPr>
    </w:p>
    <w:p>
      <w:pPr>
        <w:pStyle w:val="BodyText"/>
        <w:spacing w:before="5"/>
        <w:rPr>
          <w:sz w:val="24"/>
        </w:rPr>
      </w:pPr>
    </w:p>
    <w:p>
      <w:pPr>
        <w:pStyle w:val="ListParagraph"/>
        <w:numPr>
          <w:ilvl w:val="0"/>
          <w:numId w:val="55"/>
        </w:numPr>
        <w:tabs>
          <w:tab w:pos="987" w:val="left" w:leader="none"/>
        </w:tabs>
        <w:spacing w:line="276" w:lineRule="auto" w:before="0" w:after="0"/>
        <w:ind w:left="726" w:right="701" w:firstLine="0"/>
        <w:jc w:val="both"/>
        <w:rPr>
          <w:sz w:val="20"/>
        </w:rPr>
      </w:pPr>
      <w:r>
        <w:rPr>
          <w:sz w:val="20"/>
        </w:rPr>
        <w:t>Kontrolör kişisel veri ihlallerini kişisel veri ihlaline ilişkin bilgiler, etkileri ve gerçekleştirilen düzeltici işlemi de kapsayacak şekilde belgelendirir. Bu belgelendirme denetim makamının bu maddeye uyumluluğu doğrulamasını</w:t>
      </w:r>
      <w:r>
        <w:rPr>
          <w:spacing w:val="0"/>
          <w:sz w:val="20"/>
        </w:rPr>
        <w:t> </w:t>
      </w:r>
      <w:r>
        <w:rPr>
          <w:sz w:val="20"/>
        </w:rPr>
        <w:t>sağlar.</w:t>
      </w:r>
    </w:p>
    <w:p>
      <w:pPr>
        <w:pStyle w:val="BodyText"/>
        <w:rPr>
          <w:sz w:val="22"/>
        </w:rPr>
      </w:pPr>
    </w:p>
    <w:p>
      <w:pPr>
        <w:pStyle w:val="BodyText"/>
        <w:spacing w:before="6"/>
        <w:rPr>
          <w:sz w:val="25"/>
        </w:rPr>
      </w:pPr>
    </w:p>
    <w:p>
      <w:pPr>
        <w:pStyle w:val="BodyText"/>
        <w:spacing w:line="278" w:lineRule="auto"/>
        <w:ind w:left="5035" w:right="5053"/>
        <w:jc w:val="center"/>
      </w:pPr>
      <w:r>
        <w:rPr/>
        <w:t>Madde 34</w:t>
      </w:r>
    </w:p>
    <w:p>
      <w:pPr>
        <w:pStyle w:val="BodyText"/>
        <w:rPr>
          <w:sz w:val="22"/>
        </w:rPr>
      </w:pPr>
    </w:p>
    <w:p>
      <w:pPr>
        <w:pStyle w:val="BodyText"/>
        <w:spacing w:before="1"/>
        <w:rPr>
          <w:sz w:val="24"/>
        </w:rPr>
      </w:pPr>
    </w:p>
    <w:p>
      <w:pPr>
        <w:pStyle w:val="Heading1"/>
        <w:ind w:left="3161" w:right="0"/>
        <w:jc w:val="left"/>
      </w:pPr>
      <w:r>
        <w:rPr/>
        <w:t>Bir kişisel veri ihlalinin veri sahibine iletilmesi</w:t>
      </w:r>
    </w:p>
    <w:p>
      <w:pPr>
        <w:pStyle w:val="BodyText"/>
        <w:rPr>
          <w:b/>
          <w:sz w:val="22"/>
        </w:rPr>
      </w:pPr>
    </w:p>
    <w:p>
      <w:pPr>
        <w:pStyle w:val="BodyText"/>
        <w:spacing w:before="5"/>
        <w:rPr>
          <w:b/>
          <w:sz w:val="27"/>
        </w:rPr>
      </w:pPr>
    </w:p>
    <w:p>
      <w:pPr>
        <w:pStyle w:val="ListParagraph"/>
        <w:numPr>
          <w:ilvl w:val="0"/>
          <w:numId w:val="57"/>
        </w:numPr>
        <w:tabs>
          <w:tab w:pos="1140" w:val="left" w:leader="none"/>
        </w:tabs>
        <w:spacing w:line="276" w:lineRule="auto" w:before="1" w:after="0"/>
        <w:ind w:left="726" w:right="695" w:firstLine="0"/>
        <w:jc w:val="both"/>
        <w:rPr>
          <w:sz w:val="20"/>
        </w:rPr>
      </w:pPr>
      <w:r>
        <w:rPr>
          <w:sz w:val="20"/>
        </w:rPr>
        <w:t>Kişisel veri ihlalinin gerçek kişilerin hakları ve özgürlükleri açısından yüksek bir riske sebebiyet vermesinin muhtemel olduğu hallerde, kontrolör kişisel veri ihlalini gereksiz bir gecikmeye mahal vermeden veri sahibine</w:t>
      </w:r>
      <w:r>
        <w:rPr>
          <w:spacing w:val="-4"/>
          <w:sz w:val="20"/>
        </w:rPr>
        <w:t> </w:t>
      </w:r>
      <w:r>
        <w:rPr>
          <w:sz w:val="20"/>
        </w:rPr>
        <w:t>iletir.</w:t>
      </w:r>
    </w:p>
    <w:p>
      <w:pPr>
        <w:pStyle w:val="BodyText"/>
        <w:spacing w:before="3"/>
        <w:rPr>
          <w:sz w:val="27"/>
        </w:rPr>
      </w:pPr>
    </w:p>
    <w:p>
      <w:pPr>
        <w:pStyle w:val="ListParagraph"/>
        <w:numPr>
          <w:ilvl w:val="0"/>
          <w:numId w:val="57"/>
        </w:numPr>
        <w:tabs>
          <w:tab w:pos="1003" w:val="left" w:leader="none"/>
        </w:tabs>
        <w:spacing w:line="276" w:lineRule="auto" w:before="0" w:after="0"/>
        <w:ind w:left="726" w:right="690" w:firstLine="0"/>
        <w:jc w:val="both"/>
        <w:rPr>
          <w:sz w:val="20"/>
        </w:rPr>
      </w:pPr>
      <w:r>
        <w:rPr>
          <w:sz w:val="20"/>
        </w:rPr>
        <w:t>Bu maddenin 1. paragrafında atıfta bulunulan veri sahibine ilişkin bildirimde kişisel </w:t>
      </w:r>
      <w:r>
        <w:rPr>
          <w:spacing w:val="1"/>
          <w:sz w:val="20"/>
        </w:rPr>
        <w:t>veri </w:t>
      </w:r>
      <w:r>
        <w:rPr>
          <w:sz w:val="20"/>
        </w:rPr>
        <w:t>ihlalinin mahiyeti açık ve sade bir dille açıklanır ve en azından 33(3) maddesinin (b), (c) ve (d) bentlerinde atıfta bulunulan bilgiler ve tedbirlere yer</w:t>
      </w:r>
      <w:r>
        <w:rPr>
          <w:spacing w:val="1"/>
          <w:sz w:val="20"/>
        </w:rPr>
        <w:t> </w:t>
      </w:r>
      <w:r>
        <w:rPr>
          <w:sz w:val="20"/>
        </w:rPr>
        <w:t>verilir.</w:t>
      </w:r>
    </w:p>
    <w:p>
      <w:pPr>
        <w:pStyle w:val="BodyText"/>
        <w:rPr>
          <w:sz w:val="22"/>
        </w:rPr>
      </w:pPr>
    </w:p>
    <w:p>
      <w:pPr>
        <w:pStyle w:val="BodyText"/>
        <w:spacing w:before="2"/>
        <w:rPr>
          <w:sz w:val="24"/>
        </w:rPr>
      </w:pPr>
    </w:p>
    <w:p>
      <w:pPr>
        <w:pStyle w:val="ListParagraph"/>
        <w:numPr>
          <w:ilvl w:val="0"/>
          <w:numId w:val="57"/>
        </w:numPr>
        <w:tabs>
          <w:tab w:pos="1140" w:val="left" w:leader="none"/>
        </w:tabs>
        <w:spacing w:line="276" w:lineRule="auto" w:before="0" w:after="0"/>
        <w:ind w:left="726" w:right="692" w:firstLine="0"/>
        <w:jc w:val="both"/>
        <w:rPr>
          <w:sz w:val="20"/>
        </w:rPr>
      </w:pPr>
      <w:r>
        <w:rPr>
          <w:sz w:val="20"/>
        </w:rPr>
        <w:t>Aşağıdaki koşulların herhangi birinin yerine getirilmesi durumunda, 1. paragrafta atıfta bulunulan veri sahibine ilişkin bildirim</w:t>
      </w:r>
      <w:r>
        <w:rPr>
          <w:spacing w:val="-1"/>
          <w:sz w:val="20"/>
        </w:rPr>
        <w:t> </w:t>
      </w:r>
      <w:r>
        <w:rPr>
          <w:sz w:val="20"/>
        </w:rPr>
        <w:t>gerekmez:</w:t>
      </w:r>
    </w:p>
    <w:p>
      <w:pPr>
        <w:pStyle w:val="BodyText"/>
        <w:spacing w:before="9"/>
        <w:rPr>
          <w:sz w:val="24"/>
        </w:rPr>
      </w:pPr>
    </w:p>
    <w:p>
      <w:pPr>
        <w:pStyle w:val="ListParagraph"/>
        <w:numPr>
          <w:ilvl w:val="0"/>
          <w:numId w:val="58"/>
        </w:numPr>
        <w:tabs>
          <w:tab w:pos="1051" w:val="left" w:leader="none"/>
        </w:tabs>
        <w:spacing w:line="276" w:lineRule="auto" w:before="0" w:after="0"/>
        <w:ind w:left="1022" w:right="701" w:hanging="296"/>
        <w:jc w:val="both"/>
        <w:rPr>
          <w:sz w:val="20"/>
        </w:rPr>
      </w:pPr>
      <w:r>
        <w:rPr>
          <w:sz w:val="20"/>
        </w:rPr>
        <w:t>kontrolörün uygun teknik ve düzenlemeye ilişkin koruma tedbirleri uygulaması ve kişisel verileri bu verilere erişim yetkisi bulunmayan herkese okunamaz hale getiren şifreleme gibi tedbirler başta olmak üzere bu tedbirlerin kişisel veri ihlalinden etkilenen kişisel verilere uygulanmış</w:t>
      </w:r>
      <w:r>
        <w:rPr>
          <w:spacing w:val="-27"/>
          <w:sz w:val="20"/>
        </w:rPr>
        <w:t> </w:t>
      </w:r>
      <w:r>
        <w:rPr>
          <w:sz w:val="20"/>
        </w:rPr>
        <w:t>olması;</w:t>
      </w:r>
    </w:p>
    <w:p>
      <w:pPr>
        <w:pStyle w:val="BodyText"/>
        <w:rPr>
          <w:sz w:val="23"/>
        </w:rPr>
      </w:pPr>
    </w:p>
    <w:p>
      <w:pPr>
        <w:pStyle w:val="ListParagraph"/>
        <w:numPr>
          <w:ilvl w:val="0"/>
          <w:numId w:val="58"/>
        </w:numPr>
        <w:tabs>
          <w:tab w:pos="1065" w:val="left" w:leader="none"/>
        </w:tabs>
        <w:spacing w:line="276" w:lineRule="auto" w:before="1" w:after="0"/>
        <w:ind w:left="1022" w:right="702" w:hanging="296"/>
        <w:jc w:val="left"/>
        <w:rPr>
          <w:sz w:val="20"/>
        </w:rPr>
      </w:pPr>
      <w:r>
        <w:rPr>
          <w:sz w:val="20"/>
        </w:rPr>
        <w:t>kontrolörün 1. paragrafta atıfta bulunulan veri sahiplerinin hakları ve özgürlüklerine ilişkin yüksek riskin ortaya çıkmasının artık mümkün olmamasını sağlayan ek tedbirler</w:t>
      </w:r>
      <w:r>
        <w:rPr>
          <w:spacing w:val="-9"/>
          <w:sz w:val="20"/>
        </w:rPr>
        <w:t> </w:t>
      </w:r>
      <w:r>
        <w:rPr>
          <w:sz w:val="20"/>
        </w:rPr>
        <w:t>alması;</w:t>
      </w:r>
    </w:p>
    <w:p>
      <w:pPr>
        <w:pStyle w:val="BodyText"/>
        <w:spacing w:before="3"/>
        <w:rPr>
          <w:sz w:val="23"/>
        </w:rPr>
      </w:pPr>
    </w:p>
    <w:p>
      <w:pPr>
        <w:pStyle w:val="ListParagraph"/>
        <w:numPr>
          <w:ilvl w:val="0"/>
          <w:numId w:val="58"/>
        </w:numPr>
        <w:tabs>
          <w:tab w:pos="1055" w:val="left" w:leader="none"/>
        </w:tabs>
        <w:spacing w:line="276" w:lineRule="auto" w:before="0" w:after="0"/>
        <w:ind w:left="1022" w:right="704" w:hanging="296"/>
        <w:jc w:val="left"/>
        <w:rPr>
          <w:sz w:val="20"/>
        </w:rPr>
      </w:pPr>
      <w:r>
        <w:rPr>
          <w:sz w:val="20"/>
        </w:rPr>
        <w:t>bildirimin ölçüsüz bir çaba gerektirecek olması. Bu durumda, bunun yerine, veri sahiplerinin aynı etkililikle bilgilendirildiği kamuya yönelik bir bildirim veya benzeri bir tedbir</w:t>
      </w:r>
      <w:r>
        <w:rPr>
          <w:spacing w:val="-13"/>
          <w:sz w:val="20"/>
        </w:rPr>
        <w:t> </w:t>
      </w:r>
      <w:r>
        <w:rPr>
          <w:sz w:val="20"/>
        </w:rPr>
        <w:t>uygulanır.</w:t>
      </w:r>
    </w:p>
    <w:p>
      <w:pPr>
        <w:pStyle w:val="BodyText"/>
        <w:spacing w:before="1"/>
        <w:rPr>
          <w:sz w:val="23"/>
        </w:rPr>
      </w:pPr>
    </w:p>
    <w:p>
      <w:pPr>
        <w:pStyle w:val="ListParagraph"/>
        <w:numPr>
          <w:ilvl w:val="0"/>
          <w:numId w:val="57"/>
        </w:numPr>
        <w:tabs>
          <w:tab w:pos="948" w:val="left" w:leader="none"/>
        </w:tabs>
        <w:spacing w:line="240" w:lineRule="auto" w:before="0" w:after="0"/>
        <w:ind w:left="947" w:right="0" w:hanging="221"/>
        <w:jc w:val="left"/>
        <w:rPr>
          <w:sz w:val="20"/>
        </w:rPr>
      </w:pPr>
      <w:r>
        <w:rPr>
          <w:sz w:val="20"/>
        </w:rPr>
        <w:t>Kontrolörün halihazırda kişisel veri ihlalini veri sahibine iletmemiş olması durumunda,</w:t>
      </w:r>
      <w:r>
        <w:rPr>
          <w:spacing w:val="-22"/>
          <w:sz w:val="20"/>
        </w:rPr>
        <w:t> </w:t>
      </w:r>
      <w:r>
        <w:rPr>
          <w:sz w:val="20"/>
        </w:rPr>
        <w:t>denetim</w:t>
      </w:r>
    </w:p>
    <w:p>
      <w:pPr>
        <w:spacing w:after="0" w:line="240" w:lineRule="auto"/>
        <w:jc w:val="left"/>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line="276" w:lineRule="auto" w:before="66"/>
        <w:ind w:left="726" w:right="692"/>
        <w:jc w:val="both"/>
      </w:pPr>
      <w:r>
        <w:rPr/>
        <w:t>makamı, kişisel veri ihlalinin yüksek bir riske sebebiyet verme olasılığını değerlendirdikten sonra, kontrolörün bu bildirimi yapmasını şart koşabilir veya 3. paragrafta atıfta bulunulan koşullardan herhangi birinin yerine getirilmesine karar verebilir.</w:t>
      </w:r>
    </w:p>
    <w:p>
      <w:pPr>
        <w:pStyle w:val="BodyText"/>
        <w:rPr>
          <w:sz w:val="22"/>
        </w:rPr>
      </w:pPr>
    </w:p>
    <w:p>
      <w:pPr>
        <w:pStyle w:val="BodyText"/>
        <w:spacing w:before="3"/>
        <w:rPr>
          <w:sz w:val="24"/>
        </w:rPr>
      </w:pPr>
    </w:p>
    <w:p>
      <w:pPr>
        <w:pStyle w:val="BodyText"/>
        <w:ind w:left="2207" w:right="2222"/>
        <w:jc w:val="center"/>
      </w:pPr>
      <w:r>
        <w:rPr/>
        <w:t>Kesim 3</w:t>
      </w:r>
    </w:p>
    <w:p>
      <w:pPr>
        <w:pStyle w:val="BodyText"/>
        <w:spacing w:before="8"/>
        <w:rPr>
          <w:sz w:val="25"/>
        </w:rPr>
      </w:pPr>
    </w:p>
    <w:p>
      <w:pPr>
        <w:pStyle w:val="Heading1"/>
        <w:ind w:left="3105" w:right="0"/>
        <w:jc w:val="left"/>
      </w:pPr>
      <w:r>
        <w:rPr/>
        <w:t>Veri koruma etki değerlendirmesi ve ön istişare</w:t>
      </w:r>
    </w:p>
    <w:p>
      <w:pPr>
        <w:pStyle w:val="BodyText"/>
        <w:spacing w:before="4"/>
        <w:rPr>
          <w:b/>
          <w:sz w:val="26"/>
        </w:rPr>
      </w:pPr>
    </w:p>
    <w:p>
      <w:pPr>
        <w:pStyle w:val="BodyText"/>
        <w:spacing w:line="276" w:lineRule="auto"/>
        <w:ind w:left="5035" w:right="5053"/>
        <w:jc w:val="center"/>
      </w:pPr>
      <w:r>
        <w:rPr/>
        <w:t>Madde 35</w:t>
      </w:r>
    </w:p>
    <w:p>
      <w:pPr>
        <w:pStyle w:val="BodyText"/>
        <w:spacing w:before="8"/>
        <w:rPr>
          <w:sz w:val="22"/>
        </w:rPr>
      </w:pPr>
    </w:p>
    <w:p>
      <w:pPr>
        <w:pStyle w:val="Heading1"/>
        <w:spacing w:line="278" w:lineRule="auto"/>
        <w:ind w:left="4025" w:right="4046"/>
      </w:pPr>
      <w:r>
        <w:rPr/>
        <w:t>Veri koruma etki </w:t>
      </w:r>
      <w:r>
        <w:rPr>
          <w:w w:val="95"/>
        </w:rPr>
        <w:t>değerlendirmesi</w:t>
      </w:r>
    </w:p>
    <w:p>
      <w:pPr>
        <w:pStyle w:val="BodyText"/>
        <w:rPr>
          <w:b/>
          <w:sz w:val="22"/>
        </w:rPr>
      </w:pPr>
    </w:p>
    <w:p>
      <w:pPr>
        <w:pStyle w:val="BodyText"/>
        <w:spacing w:before="8"/>
        <w:rPr>
          <w:b/>
          <w:sz w:val="24"/>
        </w:rPr>
      </w:pPr>
    </w:p>
    <w:p>
      <w:pPr>
        <w:pStyle w:val="ListParagraph"/>
        <w:numPr>
          <w:ilvl w:val="0"/>
          <w:numId w:val="59"/>
        </w:numPr>
        <w:tabs>
          <w:tab w:pos="953" w:val="left" w:leader="none"/>
        </w:tabs>
        <w:spacing w:line="276" w:lineRule="auto" w:before="0" w:after="0"/>
        <w:ind w:left="726" w:right="691" w:firstLine="0"/>
        <w:jc w:val="both"/>
        <w:rPr>
          <w:sz w:val="20"/>
        </w:rPr>
      </w:pPr>
      <w:r>
        <w:rPr>
          <w:sz w:val="20"/>
        </w:rPr>
        <w:t>Özellikle yeni teknolojiler kullanıldığında ve işleme faaliyetinin mahiyeti, kapsamı, bağlamı ve amaçları dikkate alındığında bir işleme türünün gerçek kişilerin hakları ve özgürlükleri açısından yüksek bir riske sebebiyet vermesinin muhtemel olduğu hallerde, kontrolör, işleme faaliyetinden önce, öngörülen işleme faaliyetlerinin kişisel verilerin korunmasına olan etkisine ilişkin bir değerlendirme yapar. Tek bir değerlendirmede benzeri yüksek riskler taşıyan bir dizi benzer işleme faaliyeti ele</w:t>
      </w:r>
      <w:r>
        <w:rPr>
          <w:spacing w:val="-19"/>
          <w:sz w:val="20"/>
        </w:rPr>
        <w:t> </w:t>
      </w:r>
      <w:r>
        <w:rPr>
          <w:sz w:val="20"/>
        </w:rPr>
        <w:t>alınabilir.</w:t>
      </w:r>
    </w:p>
    <w:p>
      <w:pPr>
        <w:pStyle w:val="BodyText"/>
        <w:rPr>
          <w:sz w:val="22"/>
        </w:rPr>
      </w:pPr>
    </w:p>
    <w:p>
      <w:pPr>
        <w:pStyle w:val="BodyText"/>
        <w:spacing w:before="4"/>
        <w:rPr>
          <w:sz w:val="24"/>
        </w:rPr>
      </w:pPr>
    </w:p>
    <w:p>
      <w:pPr>
        <w:pStyle w:val="ListParagraph"/>
        <w:numPr>
          <w:ilvl w:val="0"/>
          <w:numId w:val="59"/>
        </w:numPr>
        <w:tabs>
          <w:tab w:pos="1003" w:val="left" w:leader="none"/>
        </w:tabs>
        <w:spacing w:line="276" w:lineRule="auto" w:before="0" w:after="0"/>
        <w:ind w:left="726" w:right="695" w:firstLine="0"/>
        <w:jc w:val="both"/>
        <w:rPr>
          <w:sz w:val="20"/>
        </w:rPr>
      </w:pPr>
      <w:r>
        <w:rPr>
          <w:sz w:val="20"/>
        </w:rPr>
        <w:t>Kontrolör, bir veri koruma etki değerlendirmesi gerçekleştirirken, belirlenmiş olması halinde, veri koruma görevlisinin tavsiyesine</w:t>
      </w:r>
      <w:r>
        <w:rPr>
          <w:spacing w:val="-5"/>
          <w:sz w:val="20"/>
        </w:rPr>
        <w:t> </w:t>
      </w:r>
      <w:r>
        <w:rPr>
          <w:sz w:val="20"/>
        </w:rPr>
        <w:t>başvurur.</w:t>
      </w:r>
    </w:p>
    <w:p>
      <w:pPr>
        <w:pStyle w:val="BodyText"/>
        <w:spacing w:before="9"/>
        <w:rPr>
          <w:sz w:val="24"/>
        </w:rPr>
      </w:pPr>
    </w:p>
    <w:p>
      <w:pPr>
        <w:pStyle w:val="ListParagraph"/>
        <w:numPr>
          <w:ilvl w:val="0"/>
          <w:numId w:val="59"/>
        </w:numPr>
        <w:tabs>
          <w:tab w:pos="996" w:val="left" w:leader="none"/>
        </w:tabs>
        <w:spacing w:line="276" w:lineRule="auto" w:before="0" w:after="0"/>
        <w:ind w:left="726" w:right="1261" w:firstLine="0"/>
        <w:jc w:val="left"/>
        <w:rPr>
          <w:sz w:val="20"/>
        </w:rPr>
      </w:pPr>
      <w:r>
        <w:rPr>
          <w:sz w:val="20"/>
        </w:rPr>
        <w:t>1. paragrafta atıfta bulunulan bir veri koruma etki değerlendirmesine aşağıdaki durumlarda özellikle ihtiyaç</w:t>
      </w:r>
      <w:r>
        <w:rPr>
          <w:spacing w:val="-2"/>
          <w:sz w:val="20"/>
        </w:rPr>
        <w:t> </w:t>
      </w:r>
      <w:r>
        <w:rPr>
          <w:sz w:val="20"/>
        </w:rPr>
        <w:t>duyulur:</w:t>
      </w:r>
    </w:p>
    <w:p>
      <w:pPr>
        <w:pStyle w:val="BodyText"/>
        <w:spacing w:before="6"/>
        <w:rPr>
          <w:sz w:val="23"/>
        </w:rPr>
      </w:pPr>
    </w:p>
    <w:p>
      <w:pPr>
        <w:pStyle w:val="ListParagraph"/>
        <w:numPr>
          <w:ilvl w:val="0"/>
          <w:numId w:val="60"/>
        </w:numPr>
        <w:tabs>
          <w:tab w:pos="1092" w:val="left" w:leader="none"/>
        </w:tabs>
        <w:spacing w:line="276" w:lineRule="auto" w:before="0" w:after="0"/>
        <w:ind w:left="1022" w:right="696" w:hanging="296"/>
        <w:jc w:val="both"/>
        <w:rPr>
          <w:sz w:val="20"/>
        </w:rPr>
      </w:pPr>
      <w:r>
        <w:rPr>
          <w:sz w:val="20"/>
        </w:rPr>
        <w:t>gerçek kişilerle ilgili kişisel özellikler hususunda profil çıkarma da dahil olmak üzere otomatik işlemeye dayalı olan ve gerçek kişi ile ilgili hukuki sonuçlar doğuran veya gerçek kişiyi kayda değer şekilde etkileyen kararların dayandığı sistematik ve kapsamlı bir</w:t>
      </w:r>
      <w:r>
        <w:rPr>
          <w:spacing w:val="-10"/>
          <w:sz w:val="20"/>
        </w:rPr>
        <w:t> </w:t>
      </w:r>
      <w:r>
        <w:rPr>
          <w:sz w:val="20"/>
        </w:rPr>
        <w:t>değerlendirme;</w:t>
      </w:r>
    </w:p>
    <w:p>
      <w:pPr>
        <w:pStyle w:val="BodyText"/>
        <w:spacing w:before="3"/>
        <w:rPr>
          <w:sz w:val="23"/>
        </w:rPr>
      </w:pPr>
    </w:p>
    <w:p>
      <w:pPr>
        <w:pStyle w:val="ListParagraph"/>
        <w:numPr>
          <w:ilvl w:val="0"/>
          <w:numId w:val="60"/>
        </w:numPr>
        <w:tabs>
          <w:tab w:pos="1060" w:val="left" w:leader="none"/>
        </w:tabs>
        <w:spacing w:line="276" w:lineRule="auto" w:before="0" w:after="0"/>
        <w:ind w:left="1022" w:right="696" w:hanging="296"/>
        <w:jc w:val="both"/>
        <w:rPr>
          <w:sz w:val="20"/>
        </w:rPr>
      </w:pPr>
      <w:r>
        <w:rPr>
          <w:sz w:val="20"/>
        </w:rPr>
        <w:t>9(1) maddesinde atıfta bulunulan özel kategorilerdeki verilerin veya 10. maddede atıfta bulunulan mahkumiyet kararları ve ceza gerektiren suçlara ilişkin kişisel verilerin büyük çaplı olarak işlenmesi veya</w:t>
      </w:r>
    </w:p>
    <w:p>
      <w:pPr>
        <w:pStyle w:val="BodyText"/>
        <w:spacing w:before="10"/>
        <w:rPr>
          <w:sz w:val="23"/>
        </w:rPr>
      </w:pPr>
    </w:p>
    <w:p>
      <w:pPr>
        <w:pStyle w:val="ListParagraph"/>
        <w:numPr>
          <w:ilvl w:val="0"/>
          <w:numId w:val="60"/>
        </w:numPr>
        <w:tabs>
          <w:tab w:pos="1015" w:val="left" w:leader="none"/>
        </w:tabs>
        <w:spacing w:line="240" w:lineRule="auto" w:before="1" w:after="0"/>
        <w:ind w:left="1014" w:right="0" w:hanging="288"/>
        <w:jc w:val="left"/>
        <w:rPr>
          <w:sz w:val="20"/>
        </w:rPr>
      </w:pPr>
      <w:r>
        <w:rPr>
          <w:sz w:val="20"/>
        </w:rPr>
        <w:t>kamunun erişebileceği bir alanın büyük çaplı olarak sistematik bir şekilde</w:t>
      </w:r>
      <w:r>
        <w:rPr>
          <w:spacing w:val="-7"/>
          <w:sz w:val="20"/>
        </w:rPr>
        <w:t> </w:t>
      </w:r>
      <w:r>
        <w:rPr>
          <w:sz w:val="20"/>
        </w:rPr>
        <w:t>izlenmesi.</w:t>
      </w:r>
    </w:p>
    <w:p>
      <w:pPr>
        <w:pStyle w:val="BodyText"/>
        <w:spacing w:before="6"/>
        <w:rPr>
          <w:sz w:val="26"/>
        </w:rPr>
      </w:pPr>
    </w:p>
    <w:p>
      <w:pPr>
        <w:pStyle w:val="ListParagraph"/>
        <w:numPr>
          <w:ilvl w:val="0"/>
          <w:numId w:val="59"/>
        </w:numPr>
        <w:tabs>
          <w:tab w:pos="991" w:val="left" w:leader="none"/>
        </w:tabs>
        <w:spacing w:line="276" w:lineRule="auto" w:before="0" w:after="0"/>
        <w:ind w:left="726" w:right="701" w:firstLine="0"/>
        <w:jc w:val="both"/>
        <w:rPr>
          <w:sz w:val="20"/>
        </w:rPr>
      </w:pPr>
      <w:r>
        <w:rPr>
          <w:sz w:val="20"/>
        </w:rPr>
        <w:t>Denetim makamı 1. paragraf uyarınca bir veri koruma etki değerlendirmesi gerekliliğine tabi olan işleme faaliyeti türlerine ilişkin bir liste oluşturur ve bu listeyi kamuya açıklar. Denetim makamı bu</w:t>
      </w:r>
      <w:r>
        <w:rPr>
          <w:spacing w:val="-23"/>
          <w:sz w:val="20"/>
        </w:rPr>
        <w:t> </w:t>
      </w:r>
      <w:r>
        <w:rPr>
          <w:sz w:val="20"/>
        </w:rPr>
        <w:t>listeleri</w:t>
      </w:r>
    </w:p>
    <w:p>
      <w:pPr>
        <w:pStyle w:val="BodyText"/>
        <w:spacing w:line="229" w:lineRule="exact"/>
        <w:ind w:left="726"/>
      </w:pPr>
      <w:r>
        <w:rPr/>
        <w:t>68. maddede atıfta bulunulan Kurula iletir.</w:t>
      </w:r>
    </w:p>
    <w:p>
      <w:pPr>
        <w:pStyle w:val="BodyText"/>
        <w:rPr>
          <w:sz w:val="22"/>
        </w:rPr>
      </w:pPr>
    </w:p>
    <w:p>
      <w:pPr>
        <w:pStyle w:val="BodyText"/>
        <w:spacing w:before="3"/>
        <w:rPr>
          <w:sz w:val="27"/>
        </w:rPr>
      </w:pPr>
    </w:p>
    <w:p>
      <w:pPr>
        <w:pStyle w:val="ListParagraph"/>
        <w:numPr>
          <w:ilvl w:val="0"/>
          <w:numId w:val="61"/>
        </w:numPr>
        <w:tabs>
          <w:tab w:pos="982" w:val="left" w:leader="none"/>
        </w:tabs>
        <w:spacing w:line="276" w:lineRule="auto" w:before="0" w:after="0"/>
        <w:ind w:left="726" w:right="701" w:firstLine="0"/>
        <w:jc w:val="both"/>
        <w:rPr>
          <w:sz w:val="20"/>
        </w:rPr>
      </w:pPr>
      <w:r>
        <w:rPr>
          <w:sz w:val="20"/>
        </w:rPr>
        <w:t>Denetim makamı herhangi bir veri koruma etki değerlendirmesinin gerekli olmadığı işleme faaliyeti türlerine</w:t>
      </w:r>
      <w:r>
        <w:rPr>
          <w:spacing w:val="-4"/>
          <w:sz w:val="20"/>
        </w:rPr>
        <w:t> </w:t>
      </w:r>
      <w:r>
        <w:rPr>
          <w:sz w:val="20"/>
        </w:rPr>
        <w:t>ilişkin</w:t>
      </w:r>
      <w:r>
        <w:rPr>
          <w:spacing w:val="-5"/>
          <w:sz w:val="20"/>
        </w:rPr>
        <w:t> </w:t>
      </w:r>
      <w:r>
        <w:rPr>
          <w:sz w:val="20"/>
        </w:rPr>
        <w:t>bir</w:t>
      </w:r>
      <w:r>
        <w:rPr>
          <w:spacing w:val="-4"/>
          <w:sz w:val="20"/>
        </w:rPr>
        <w:t> </w:t>
      </w:r>
      <w:r>
        <w:rPr>
          <w:sz w:val="20"/>
        </w:rPr>
        <w:t>liste</w:t>
      </w:r>
      <w:r>
        <w:rPr>
          <w:spacing w:val="-3"/>
          <w:sz w:val="20"/>
        </w:rPr>
        <w:t> </w:t>
      </w:r>
      <w:r>
        <w:rPr>
          <w:sz w:val="20"/>
        </w:rPr>
        <w:t>oluşturur</w:t>
      </w:r>
      <w:r>
        <w:rPr>
          <w:spacing w:val="-4"/>
          <w:sz w:val="20"/>
        </w:rPr>
        <w:t> </w:t>
      </w:r>
      <w:r>
        <w:rPr>
          <w:sz w:val="20"/>
        </w:rPr>
        <w:t>ve</w:t>
      </w:r>
      <w:r>
        <w:rPr>
          <w:spacing w:val="-3"/>
          <w:sz w:val="20"/>
        </w:rPr>
        <w:t> </w:t>
      </w:r>
      <w:r>
        <w:rPr>
          <w:sz w:val="20"/>
        </w:rPr>
        <w:t>bu</w:t>
      </w:r>
      <w:r>
        <w:rPr>
          <w:spacing w:val="-4"/>
          <w:sz w:val="20"/>
        </w:rPr>
        <w:t> </w:t>
      </w:r>
      <w:r>
        <w:rPr>
          <w:sz w:val="20"/>
        </w:rPr>
        <w:t>listeyi</w:t>
      </w:r>
      <w:r>
        <w:rPr>
          <w:spacing w:val="-4"/>
          <w:sz w:val="20"/>
        </w:rPr>
        <w:t> </w:t>
      </w:r>
      <w:r>
        <w:rPr>
          <w:sz w:val="20"/>
        </w:rPr>
        <w:t>kamuya</w:t>
      </w:r>
      <w:r>
        <w:rPr>
          <w:spacing w:val="-5"/>
          <w:sz w:val="20"/>
        </w:rPr>
        <w:t> </w:t>
      </w:r>
      <w:r>
        <w:rPr>
          <w:sz w:val="20"/>
        </w:rPr>
        <w:t>açıklar.</w:t>
      </w:r>
      <w:r>
        <w:rPr>
          <w:spacing w:val="-5"/>
          <w:sz w:val="20"/>
        </w:rPr>
        <w:t> </w:t>
      </w:r>
      <w:r>
        <w:rPr>
          <w:sz w:val="20"/>
        </w:rPr>
        <w:t>Denetim</w:t>
      </w:r>
      <w:r>
        <w:rPr>
          <w:spacing w:val="-3"/>
          <w:sz w:val="20"/>
        </w:rPr>
        <w:t> </w:t>
      </w:r>
      <w:r>
        <w:rPr>
          <w:sz w:val="20"/>
        </w:rPr>
        <w:t>makamı</w:t>
      </w:r>
      <w:r>
        <w:rPr>
          <w:spacing w:val="-5"/>
          <w:sz w:val="20"/>
        </w:rPr>
        <w:t> </w:t>
      </w:r>
      <w:r>
        <w:rPr>
          <w:sz w:val="20"/>
        </w:rPr>
        <w:t>bu</w:t>
      </w:r>
      <w:r>
        <w:rPr>
          <w:spacing w:val="-5"/>
          <w:sz w:val="20"/>
        </w:rPr>
        <w:t> </w:t>
      </w:r>
      <w:r>
        <w:rPr>
          <w:sz w:val="20"/>
        </w:rPr>
        <w:t>listeleri</w:t>
      </w:r>
      <w:r>
        <w:rPr>
          <w:spacing w:val="-3"/>
          <w:sz w:val="20"/>
        </w:rPr>
        <w:t> </w:t>
      </w:r>
      <w:r>
        <w:rPr>
          <w:sz w:val="20"/>
        </w:rPr>
        <w:t>Kurula</w:t>
      </w:r>
      <w:r>
        <w:rPr>
          <w:spacing w:val="-3"/>
          <w:sz w:val="20"/>
        </w:rPr>
        <w:t> </w:t>
      </w:r>
      <w:r>
        <w:rPr>
          <w:sz w:val="20"/>
        </w:rPr>
        <w:t>iletir.</w:t>
      </w:r>
    </w:p>
    <w:p>
      <w:pPr>
        <w:pStyle w:val="BodyText"/>
        <w:rPr>
          <w:sz w:val="22"/>
        </w:rPr>
      </w:pPr>
    </w:p>
    <w:p>
      <w:pPr>
        <w:pStyle w:val="BodyText"/>
        <w:spacing w:before="3"/>
        <w:rPr>
          <w:sz w:val="24"/>
        </w:rPr>
      </w:pPr>
    </w:p>
    <w:p>
      <w:pPr>
        <w:pStyle w:val="ListParagraph"/>
        <w:numPr>
          <w:ilvl w:val="0"/>
          <w:numId w:val="61"/>
        </w:numPr>
        <w:tabs>
          <w:tab w:pos="955" w:val="left" w:leader="none"/>
        </w:tabs>
        <w:spacing w:line="276" w:lineRule="auto" w:before="0" w:after="0"/>
        <w:ind w:left="726" w:right="697" w:firstLine="0"/>
        <w:jc w:val="both"/>
        <w:rPr>
          <w:sz w:val="20"/>
        </w:rPr>
      </w:pPr>
      <w:r>
        <w:rPr>
          <w:sz w:val="20"/>
        </w:rPr>
        <w:t>4 ve 5. paragraflarda atıfta bulunulan listelerin kabulünden önce, söz konusu listelerin veri sahiplerine mallar veya hizmetlerin sağlanması </w:t>
      </w:r>
      <w:r>
        <w:rPr>
          <w:spacing w:val="-3"/>
          <w:sz w:val="20"/>
        </w:rPr>
        <w:t>ya </w:t>
      </w:r>
      <w:r>
        <w:rPr>
          <w:sz w:val="20"/>
        </w:rPr>
        <w:t>da onların çeşitli üye devletlerdeki davranışlarının izlenmesi ile ilgili olan veya kişisel verilerin Birlik içerisinde serbest dolaşımını kayda değer ölçüde etkileyebilecek işleme faaliyetlerine yer verildiği hallerde, yetkin denetim makamı 63. maddede atıfta bulunulan tutarlılık mekanizmasını</w:t>
      </w:r>
      <w:r>
        <w:rPr>
          <w:spacing w:val="-2"/>
          <w:sz w:val="20"/>
        </w:rPr>
        <w:t> </w:t>
      </w:r>
      <w:r>
        <w:rPr>
          <w:sz w:val="20"/>
        </w:rPr>
        <w:t>uygular.</w:t>
      </w:r>
    </w:p>
    <w:p>
      <w:pPr>
        <w:pStyle w:val="BodyText"/>
        <w:rPr>
          <w:sz w:val="23"/>
        </w:rPr>
      </w:pPr>
    </w:p>
    <w:p>
      <w:pPr>
        <w:pStyle w:val="ListParagraph"/>
        <w:numPr>
          <w:ilvl w:val="0"/>
          <w:numId w:val="61"/>
        </w:numPr>
        <w:tabs>
          <w:tab w:pos="948" w:val="left" w:leader="none"/>
        </w:tabs>
        <w:spacing w:line="240" w:lineRule="auto" w:before="0" w:after="0"/>
        <w:ind w:left="947" w:right="0" w:hanging="221"/>
        <w:jc w:val="both"/>
        <w:rPr>
          <w:sz w:val="20"/>
        </w:rPr>
      </w:pPr>
      <w:r>
        <w:rPr>
          <w:sz w:val="20"/>
        </w:rPr>
        <w:t>Değerlendirme en azından şunları</w:t>
      </w:r>
      <w:r>
        <w:rPr>
          <w:spacing w:val="-3"/>
          <w:sz w:val="20"/>
        </w:rPr>
        <w:t> </w:t>
      </w:r>
      <w:r>
        <w:rPr>
          <w:sz w:val="20"/>
        </w:rPr>
        <w:t>içerir:</w:t>
      </w:r>
    </w:p>
    <w:p>
      <w:pPr>
        <w:pStyle w:val="BodyText"/>
        <w:spacing w:before="1"/>
        <w:rPr>
          <w:sz w:val="26"/>
        </w:rPr>
      </w:pPr>
    </w:p>
    <w:p>
      <w:pPr>
        <w:pStyle w:val="ListParagraph"/>
        <w:numPr>
          <w:ilvl w:val="0"/>
          <w:numId w:val="62"/>
        </w:numPr>
        <w:tabs>
          <w:tab w:pos="1087" w:val="left" w:leader="none"/>
        </w:tabs>
        <w:spacing w:line="240" w:lineRule="auto" w:before="0" w:after="0"/>
        <w:ind w:left="726" w:right="0" w:firstLine="0"/>
        <w:jc w:val="both"/>
        <w:rPr>
          <w:sz w:val="20"/>
        </w:rPr>
      </w:pPr>
      <w:r>
        <w:rPr>
          <w:sz w:val="20"/>
        </w:rPr>
        <w:t>uygun olduğu hallerde, kontrolör tarafından gözetilen meşru menfaat de dahil olmak üzere</w:t>
      </w:r>
      <w:r>
        <w:rPr>
          <w:spacing w:val="-31"/>
          <w:sz w:val="20"/>
        </w:rPr>
        <w:t> </w:t>
      </w:r>
      <w:r>
        <w:rPr>
          <w:sz w:val="20"/>
        </w:rPr>
        <w:t>öngörülen</w:t>
      </w:r>
    </w:p>
    <w:p>
      <w:pPr>
        <w:spacing w:after="0" w:line="240"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before="66"/>
        <w:ind w:left="1086"/>
      </w:pPr>
      <w:r>
        <w:rPr/>
        <w:t>işleme faaliyetleri ve işleme amaçlarına ilişkin sistematik bir açıklama;</w:t>
      </w:r>
    </w:p>
    <w:p>
      <w:pPr>
        <w:pStyle w:val="BodyText"/>
        <w:spacing w:before="7"/>
        <w:rPr>
          <w:sz w:val="26"/>
        </w:rPr>
      </w:pPr>
    </w:p>
    <w:p>
      <w:pPr>
        <w:pStyle w:val="ListParagraph"/>
        <w:numPr>
          <w:ilvl w:val="0"/>
          <w:numId w:val="62"/>
        </w:numPr>
        <w:tabs>
          <w:tab w:pos="1027" w:val="left" w:leader="none"/>
        </w:tabs>
        <w:spacing w:line="240" w:lineRule="auto" w:before="0" w:after="0"/>
        <w:ind w:left="1026" w:right="0" w:hanging="300"/>
        <w:jc w:val="both"/>
        <w:rPr>
          <w:sz w:val="20"/>
        </w:rPr>
      </w:pPr>
      <w:r>
        <w:rPr>
          <w:sz w:val="20"/>
        </w:rPr>
        <w:t>işleme faaliyetlerinin amaçlarla ilişkili olarak gerekliliği ve orantılılığına yönelik bir</w:t>
      </w:r>
      <w:r>
        <w:rPr>
          <w:spacing w:val="-15"/>
          <w:sz w:val="20"/>
        </w:rPr>
        <w:t> </w:t>
      </w:r>
      <w:r>
        <w:rPr>
          <w:sz w:val="20"/>
        </w:rPr>
        <w:t>değerlendirme;</w:t>
      </w:r>
    </w:p>
    <w:p>
      <w:pPr>
        <w:pStyle w:val="ListParagraph"/>
        <w:numPr>
          <w:ilvl w:val="0"/>
          <w:numId w:val="62"/>
        </w:numPr>
        <w:tabs>
          <w:tab w:pos="1017" w:val="left" w:leader="none"/>
        </w:tabs>
        <w:spacing w:line="278" w:lineRule="auto" w:before="34" w:after="0"/>
        <w:ind w:left="726" w:right="1309" w:firstLine="0"/>
        <w:jc w:val="left"/>
        <w:rPr>
          <w:sz w:val="20"/>
        </w:rPr>
      </w:pPr>
      <w:r>
        <w:rPr>
          <w:sz w:val="20"/>
        </w:rPr>
        <w:t>1. paragrafta atıfta bulunulduğu üzere veri sahiplerinin hakları ve özgürlüklerine yönelik risklere ilişkin bir değerlendirme</w:t>
      </w:r>
      <w:r>
        <w:rPr>
          <w:spacing w:val="-3"/>
          <w:sz w:val="20"/>
        </w:rPr>
        <w:t> </w:t>
      </w:r>
      <w:r>
        <w:rPr>
          <w:sz w:val="20"/>
        </w:rPr>
        <w:t>ve</w:t>
      </w:r>
    </w:p>
    <w:p>
      <w:pPr>
        <w:pStyle w:val="BodyText"/>
        <w:spacing w:before="6"/>
        <w:rPr>
          <w:sz w:val="23"/>
        </w:rPr>
      </w:pPr>
    </w:p>
    <w:p>
      <w:pPr>
        <w:pStyle w:val="ListParagraph"/>
        <w:numPr>
          <w:ilvl w:val="0"/>
          <w:numId w:val="62"/>
        </w:numPr>
        <w:tabs>
          <w:tab w:pos="1065" w:val="left" w:leader="none"/>
        </w:tabs>
        <w:spacing w:line="276" w:lineRule="auto" w:before="0" w:after="0"/>
        <w:ind w:left="1022" w:right="689" w:hanging="296"/>
        <w:jc w:val="both"/>
        <w:rPr>
          <w:sz w:val="20"/>
        </w:rPr>
      </w:pPr>
      <w:r>
        <w:rPr>
          <w:sz w:val="20"/>
        </w:rPr>
        <w:t>veri sahipleri ve ilgili diğer kişilerin hakları ve meşru menfaatleri dikkate alınarak, kişisel verilerin korunmasının sağlanması ve bu Tüzük’e uygun hareket edildiğinin gösterilmesiyle ilgili güvenceler, güvenlik tedbirleri ve mekanizmalar da dahil olmak üzere risklerin ele alınması hususunda öngörülen tedbirler.</w:t>
      </w:r>
    </w:p>
    <w:p>
      <w:pPr>
        <w:pStyle w:val="BodyText"/>
        <w:spacing w:before="5"/>
        <w:rPr>
          <w:sz w:val="24"/>
        </w:rPr>
      </w:pPr>
    </w:p>
    <w:p>
      <w:pPr>
        <w:pStyle w:val="ListParagraph"/>
        <w:numPr>
          <w:ilvl w:val="0"/>
          <w:numId w:val="61"/>
        </w:numPr>
        <w:tabs>
          <w:tab w:pos="975" w:val="left" w:leader="none"/>
        </w:tabs>
        <w:spacing w:line="276" w:lineRule="auto" w:before="0" w:after="0"/>
        <w:ind w:left="726" w:right="694" w:firstLine="0"/>
        <w:jc w:val="both"/>
        <w:rPr>
          <w:sz w:val="20"/>
        </w:rPr>
      </w:pPr>
      <w:r>
        <w:rPr>
          <w:sz w:val="20"/>
        </w:rPr>
        <w:t>40. maddede atıfta bulunulan onaylı davranış kurallarına ilgili kontrolörler veya işleyiciler tarafından uyum, söz konusu kontrolörler veya işleyiciler tarafından özellikle bir veri koruma etki değerlendirmesi amaçlarına yönelik olarak gerçekleştirilen işleme faaliyetlerinin etkisinin değerlendirilmesi hususunda dikkate</w:t>
      </w:r>
      <w:r>
        <w:rPr>
          <w:spacing w:val="-3"/>
          <w:sz w:val="20"/>
        </w:rPr>
        <w:t> </w:t>
      </w:r>
      <w:r>
        <w:rPr>
          <w:sz w:val="20"/>
        </w:rPr>
        <w:t>alınır.</w:t>
      </w:r>
    </w:p>
    <w:p>
      <w:pPr>
        <w:pStyle w:val="BodyText"/>
        <w:rPr>
          <w:sz w:val="22"/>
        </w:rPr>
      </w:pPr>
    </w:p>
    <w:p>
      <w:pPr>
        <w:pStyle w:val="BodyText"/>
        <w:spacing w:before="5"/>
        <w:rPr>
          <w:sz w:val="24"/>
        </w:rPr>
      </w:pPr>
    </w:p>
    <w:p>
      <w:pPr>
        <w:pStyle w:val="ListParagraph"/>
        <w:numPr>
          <w:ilvl w:val="0"/>
          <w:numId w:val="61"/>
        </w:numPr>
        <w:tabs>
          <w:tab w:pos="994" w:val="left" w:leader="none"/>
        </w:tabs>
        <w:spacing w:line="276" w:lineRule="auto" w:before="0" w:after="0"/>
        <w:ind w:left="726" w:right="700" w:firstLine="0"/>
        <w:jc w:val="both"/>
        <w:rPr>
          <w:sz w:val="20"/>
        </w:rPr>
      </w:pPr>
      <w:r>
        <w:rPr>
          <w:sz w:val="20"/>
        </w:rPr>
        <w:t>Uygun olduğu hallerde, kontrolör, ticari menfaatler veya kamu menfaatlerinin korunmasına ya da işleme faaliyetlerinin güvenliğine halel gelmeksizin, veri sahipleri veya temsilcilerinin amaçlanan işleme faaliyetine ilişkin görüşlerini</w:t>
      </w:r>
      <w:r>
        <w:rPr>
          <w:spacing w:val="-2"/>
          <w:sz w:val="20"/>
        </w:rPr>
        <w:t> </w:t>
      </w:r>
      <w:r>
        <w:rPr>
          <w:sz w:val="20"/>
        </w:rPr>
        <w:t>alır.</w:t>
      </w:r>
    </w:p>
    <w:p>
      <w:pPr>
        <w:pStyle w:val="BodyText"/>
        <w:rPr>
          <w:sz w:val="22"/>
        </w:rPr>
      </w:pPr>
    </w:p>
    <w:p>
      <w:pPr>
        <w:pStyle w:val="BodyText"/>
        <w:spacing w:before="7"/>
        <w:rPr>
          <w:sz w:val="24"/>
        </w:rPr>
      </w:pPr>
    </w:p>
    <w:p>
      <w:pPr>
        <w:pStyle w:val="ListParagraph"/>
        <w:numPr>
          <w:ilvl w:val="0"/>
          <w:numId w:val="61"/>
        </w:numPr>
        <w:tabs>
          <w:tab w:pos="1080" w:val="left" w:leader="none"/>
        </w:tabs>
        <w:spacing w:line="276" w:lineRule="auto" w:before="0" w:after="0"/>
        <w:ind w:left="726" w:right="695" w:firstLine="0"/>
        <w:jc w:val="both"/>
        <w:rPr>
          <w:sz w:val="20"/>
        </w:rPr>
      </w:pPr>
      <w:r>
        <w:rPr>
          <w:sz w:val="20"/>
        </w:rPr>
        <w:t>6(1) maddesinin (c) veya (e) bendi uyarınca gerçekleştirilen bir işleme faaliyetinin Birlik hukukunda veya kontrolörün tabi olduğu üye devletin kanununda bir yasal dayanağının bulunduğu, söz konusu kanunun spesifik bir işleme faaliyeti veya bir dizi faaliyeti düzenlediği ve bir veri koruma etki değerlendirmesinin söz konusu yasal dayanağın kabulü bağlamında genel bir etki değerlendirmesinin parçası olarak halihazırda gerçekleştirilmiş olduğu hallerde, üye devletlerin işleme faaliyetlerinden önce böylesi bir değerlendirme yapılmasını gerekli görmemesi</w:t>
      </w:r>
      <w:r>
        <w:rPr>
          <w:spacing w:val="-41"/>
          <w:sz w:val="20"/>
        </w:rPr>
        <w:t> </w:t>
      </w:r>
      <w:r>
        <w:rPr>
          <w:sz w:val="20"/>
        </w:rPr>
        <w:t>durumunda, 1 ila 7. paragraflar uygulanmaz.</w:t>
      </w:r>
    </w:p>
    <w:p>
      <w:pPr>
        <w:pStyle w:val="BodyText"/>
        <w:rPr>
          <w:sz w:val="22"/>
        </w:rPr>
      </w:pPr>
    </w:p>
    <w:p>
      <w:pPr>
        <w:pStyle w:val="BodyText"/>
        <w:spacing w:before="6"/>
        <w:rPr>
          <w:sz w:val="24"/>
        </w:rPr>
      </w:pPr>
    </w:p>
    <w:p>
      <w:pPr>
        <w:pStyle w:val="ListParagraph"/>
        <w:numPr>
          <w:ilvl w:val="0"/>
          <w:numId w:val="61"/>
        </w:numPr>
        <w:tabs>
          <w:tab w:pos="1061" w:val="left" w:leader="none"/>
        </w:tabs>
        <w:spacing w:line="276" w:lineRule="auto" w:before="1" w:after="0"/>
        <w:ind w:left="726" w:right="700" w:firstLine="0"/>
        <w:jc w:val="both"/>
        <w:rPr>
          <w:sz w:val="20"/>
        </w:rPr>
      </w:pPr>
      <w:r>
        <w:rPr>
          <w:sz w:val="20"/>
        </w:rPr>
        <w:t>Gerekmesi halinde, en azından işleme faaliyetlerinin teşkil ettiği risk açısından bir değişiklik meydana geldiğinde, kontrolör işleme faaliyetinin veri koruma etki değerlendirmesi uyarınca gerçekleştirilip gerçekleştirilmediğini değerlendirmek üzere bir gözden geçirme</w:t>
      </w:r>
      <w:r>
        <w:rPr>
          <w:spacing w:val="-5"/>
          <w:sz w:val="20"/>
        </w:rPr>
        <w:t> </w:t>
      </w:r>
      <w:r>
        <w:rPr>
          <w:sz w:val="20"/>
        </w:rPr>
        <w:t>gerçekleştirir.</w:t>
      </w:r>
    </w:p>
    <w:p>
      <w:pPr>
        <w:pStyle w:val="BodyText"/>
        <w:spacing w:before="3"/>
        <w:rPr>
          <w:sz w:val="24"/>
        </w:rPr>
      </w:pPr>
    </w:p>
    <w:p>
      <w:pPr>
        <w:pStyle w:val="BodyText"/>
        <w:spacing w:line="276" w:lineRule="auto"/>
        <w:ind w:left="5035" w:right="5053"/>
        <w:jc w:val="center"/>
      </w:pPr>
      <w:r>
        <w:rPr/>
        <w:t>Madde 36</w:t>
      </w:r>
    </w:p>
    <w:p>
      <w:pPr>
        <w:pStyle w:val="BodyText"/>
        <w:spacing w:before="10"/>
        <w:rPr>
          <w:sz w:val="22"/>
        </w:rPr>
      </w:pPr>
    </w:p>
    <w:p>
      <w:pPr>
        <w:pStyle w:val="Heading1"/>
        <w:spacing w:before="1"/>
        <w:ind w:right="2225"/>
      </w:pPr>
      <w:r>
        <w:rPr/>
        <w:t>Ön istişare</w:t>
      </w:r>
    </w:p>
    <w:p>
      <w:pPr>
        <w:pStyle w:val="BodyText"/>
        <w:spacing w:before="1"/>
        <w:rPr>
          <w:b/>
          <w:sz w:val="26"/>
        </w:rPr>
      </w:pPr>
    </w:p>
    <w:p>
      <w:pPr>
        <w:pStyle w:val="ListParagraph"/>
        <w:numPr>
          <w:ilvl w:val="0"/>
          <w:numId w:val="63"/>
        </w:numPr>
        <w:tabs>
          <w:tab w:pos="970" w:val="left" w:leader="none"/>
        </w:tabs>
        <w:spacing w:line="276" w:lineRule="auto" w:before="0" w:after="0"/>
        <w:ind w:left="726" w:right="692" w:firstLine="0"/>
        <w:jc w:val="both"/>
        <w:rPr>
          <w:sz w:val="20"/>
        </w:rPr>
      </w:pPr>
      <w:r>
        <w:rPr>
          <w:sz w:val="20"/>
        </w:rPr>
        <w:t>35. madde kapsamındaki bir veri koruma etki değerlendirmesi sonucunda kontrolör tarafından riskin azaltılması hususunda alınan tedbirlerin olmaması durumunda işleme faaliyetinin yüksek bir riske sebebiyet vereceğinin görüldüğü hallerde, kontrolör işleme faaliyetinden önce denetim makamına danışır.</w:t>
      </w:r>
    </w:p>
    <w:p>
      <w:pPr>
        <w:pStyle w:val="BodyText"/>
        <w:rPr>
          <w:sz w:val="23"/>
        </w:rPr>
      </w:pPr>
    </w:p>
    <w:p>
      <w:pPr>
        <w:pStyle w:val="ListParagraph"/>
        <w:numPr>
          <w:ilvl w:val="0"/>
          <w:numId w:val="63"/>
        </w:numPr>
        <w:tabs>
          <w:tab w:pos="987" w:val="left" w:leader="none"/>
        </w:tabs>
        <w:spacing w:line="276" w:lineRule="auto" w:before="0" w:after="0"/>
        <w:ind w:left="726" w:right="688" w:firstLine="0"/>
        <w:jc w:val="both"/>
        <w:rPr>
          <w:sz w:val="20"/>
        </w:rPr>
      </w:pPr>
      <w:r>
        <w:rPr>
          <w:sz w:val="20"/>
        </w:rPr>
        <w:t>Kontrolörün riski yeterli şekilde tanımlamadığı veya azaltmadığı haller başta olmak üzere denetim makamının 1. paragrafta atıfta bulunulan amaçlanan işleme faaliyetinin bu Tüzük’ü ihlal edeceğini düşündüğü hallerde, denetim makamı, istişare talebinin alınmasından itibaren sekiz haftalık bir süre içerisinde, kontrolöre ve uygun olduğu hallerde işleyiciye, yazılı tavsiyede bulunur ve, 58. maddede atıfta bulunulan yetkilerinden herhangi birini kullanabilir. Bu süre, amaçlanan işleme faaliyetinin karmaşıklığı dikkate alınarak, altı hafta daha uzatılabilir. Denetim makamı, gecikme sebepleri ile birlikte istişare talebinin alınmasından itibaren bir ay içerisinde herhangi bir süre uzatımı ile ilgili olarak kontrolörü ve, uygun olduğu hallerde, işleyiciyi bilgilendirir. Bu süreler, denetim makamı istişare amacıyla talep etmiş olduğu bilgileri elde edene kadar askıya</w:t>
      </w:r>
      <w:r>
        <w:rPr>
          <w:spacing w:val="-1"/>
          <w:sz w:val="20"/>
        </w:rPr>
        <w:t> </w:t>
      </w:r>
      <w:r>
        <w:rPr>
          <w:sz w:val="20"/>
        </w:rPr>
        <w:t>alınabilir.</w:t>
      </w:r>
    </w:p>
    <w:p>
      <w:pPr>
        <w:pStyle w:val="BodyText"/>
        <w:rPr>
          <w:sz w:val="22"/>
        </w:rPr>
      </w:pPr>
    </w:p>
    <w:p>
      <w:pPr>
        <w:pStyle w:val="BodyText"/>
        <w:spacing w:before="7"/>
        <w:rPr>
          <w:sz w:val="24"/>
        </w:rPr>
      </w:pPr>
    </w:p>
    <w:p>
      <w:pPr>
        <w:pStyle w:val="ListParagraph"/>
        <w:numPr>
          <w:ilvl w:val="0"/>
          <w:numId w:val="63"/>
        </w:numPr>
        <w:tabs>
          <w:tab w:pos="948" w:val="left" w:leader="none"/>
        </w:tabs>
        <w:spacing w:line="240" w:lineRule="auto" w:before="0" w:after="0"/>
        <w:ind w:left="947" w:right="0" w:hanging="221"/>
        <w:jc w:val="both"/>
        <w:rPr>
          <w:sz w:val="20"/>
        </w:rPr>
      </w:pPr>
      <w:r>
        <w:rPr>
          <w:sz w:val="20"/>
        </w:rPr>
        <w:t>1. paragraf uyarınca denetim makamına danışılırken, kontrolör denetim makamına şunları</w:t>
      </w:r>
      <w:r>
        <w:rPr>
          <w:spacing w:val="-19"/>
          <w:sz w:val="20"/>
        </w:rPr>
        <w:t> </w:t>
      </w:r>
      <w:r>
        <w:rPr>
          <w:sz w:val="20"/>
        </w:rPr>
        <w:t>sağlar:</w:t>
      </w:r>
    </w:p>
    <w:p>
      <w:pPr>
        <w:spacing w:after="0" w:line="240"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before="8"/>
      </w:pPr>
    </w:p>
    <w:p>
      <w:pPr>
        <w:pStyle w:val="ListParagraph"/>
        <w:numPr>
          <w:ilvl w:val="0"/>
          <w:numId w:val="64"/>
        </w:numPr>
        <w:tabs>
          <w:tab w:pos="1036" w:val="left" w:leader="none"/>
        </w:tabs>
        <w:spacing w:line="278" w:lineRule="auto" w:before="93" w:after="0"/>
        <w:ind w:left="1022" w:right="698" w:hanging="296"/>
        <w:jc w:val="left"/>
        <w:rPr>
          <w:sz w:val="20"/>
        </w:rPr>
      </w:pPr>
      <w:r>
        <w:rPr>
          <w:sz w:val="20"/>
        </w:rPr>
        <w:t>uygun olduğu hallerde, kontrolör, ortak kontrolörler ve işleme faaliyetine müdahil işleyicilerin özellikle bir teşebbüsler grubu dahilindeki işleme faaliyetine yönelik</w:t>
      </w:r>
      <w:r>
        <w:rPr>
          <w:spacing w:val="-10"/>
          <w:sz w:val="20"/>
        </w:rPr>
        <w:t> </w:t>
      </w:r>
      <w:r>
        <w:rPr>
          <w:sz w:val="20"/>
        </w:rPr>
        <w:t>sorumlulukları;</w:t>
      </w:r>
    </w:p>
    <w:p>
      <w:pPr>
        <w:pStyle w:val="BodyText"/>
        <w:spacing w:before="1"/>
        <w:rPr>
          <w:sz w:val="23"/>
        </w:rPr>
      </w:pPr>
    </w:p>
    <w:p>
      <w:pPr>
        <w:pStyle w:val="ListParagraph"/>
        <w:numPr>
          <w:ilvl w:val="0"/>
          <w:numId w:val="64"/>
        </w:numPr>
        <w:tabs>
          <w:tab w:pos="1027" w:val="left" w:leader="none"/>
        </w:tabs>
        <w:spacing w:line="240" w:lineRule="auto" w:before="0" w:after="0"/>
        <w:ind w:left="1026" w:right="0" w:hanging="300"/>
        <w:jc w:val="left"/>
        <w:rPr>
          <w:sz w:val="20"/>
        </w:rPr>
      </w:pPr>
      <w:r>
        <w:rPr>
          <w:sz w:val="20"/>
        </w:rPr>
        <w:t>planlanan işleme amaçları ve yöntemleri;</w:t>
      </w:r>
    </w:p>
    <w:p>
      <w:pPr>
        <w:pStyle w:val="ListParagraph"/>
        <w:numPr>
          <w:ilvl w:val="0"/>
          <w:numId w:val="64"/>
        </w:numPr>
        <w:tabs>
          <w:tab w:pos="1029" w:val="left" w:leader="none"/>
        </w:tabs>
        <w:spacing w:line="276" w:lineRule="auto" w:before="113" w:after="0"/>
        <w:ind w:left="726" w:right="698" w:firstLine="0"/>
        <w:jc w:val="left"/>
        <w:rPr>
          <w:sz w:val="20"/>
        </w:rPr>
      </w:pPr>
      <w:r>
        <w:rPr>
          <w:sz w:val="20"/>
        </w:rPr>
        <w:t>veri sahiplerinin hakları ve özgürlüklerinin korunması amacı ile bu Tüzük uyarınca sağlanan tedbirler ve güvenceler;</w:t>
      </w:r>
    </w:p>
    <w:p>
      <w:pPr>
        <w:pStyle w:val="BodyText"/>
        <w:rPr>
          <w:sz w:val="30"/>
        </w:rPr>
      </w:pPr>
    </w:p>
    <w:p>
      <w:pPr>
        <w:pStyle w:val="ListParagraph"/>
        <w:numPr>
          <w:ilvl w:val="0"/>
          <w:numId w:val="64"/>
        </w:numPr>
        <w:tabs>
          <w:tab w:pos="1027" w:val="left" w:leader="none"/>
        </w:tabs>
        <w:spacing w:line="240" w:lineRule="auto" w:before="0" w:after="0"/>
        <w:ind w:left="1026" w:right="0" w:hanging="300"/>
        <w:jc w:val="left"/>
        <w:rPr>
          <w:sz w:val="20"/>
        </w:rPr>
      </w:pPr>
      <w:r>
        <w:rPr>
          <w:sz w:val="20"/>
        </w:rPr>
        <w:t>uygun olduğu hallerde, veri koruma görevlisinin irtibat</w:t>
      </w:r>
      <w:r>
        <w:rPr>
          <w:spacing w:val="-4"/>
          <w:sz w:val="20"/>
        </w:rPr>
        <w:t> </w:t>
      </w:r>
      <w:r>
        <w:rPr>
          <w:sz w:val="20"/>
        </w:rPr>
        <w:t>bilgileri;</w:t>
      </w:r>
    </w:p>
    <w:p>
      <w:pPr>
        <w:spacing w:after="0" w:line="240" w:lineRule="auto"/>
        <w:jc w:val="left"/>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before="1"/>
        <w:rPr>
          <w:sz w:val="21"/>
        </w:rPr>
      </w:pPr>
    </w:p>
    <w:p>
      <w:pPr>
        <w:pStyle w:val="ListParagraph"/>
        <w:numPr>
          <w:ilvl w:val="0"/>
          <w:numId w:val="64"/>
        </w:numPr>
        <w:tabs>
          <w:tab w:pos="1027" w:val="left" w:leader="none"/>
        </w:tabs>
        <w:spacing w:line="240" w:lineRule="auto" w:before="93" w:after="0"/>
        <w:ind w:left="1026" w:right="0" w:hanging="300"/>
        <w:jc w:val="both"/>
        <w:rPr>
          <w:sz w:val="20"/>
        </w:rPr>
      </w:pPr>
      <w:r>
        <w:rPr>
          <w:sz w:val="20"/>
        </w:rPr>
        <w:t>35. maddede belirtilen veri koruma etki değerlendirmesi</w:t>
      </w:r>
      <w:r>
        <w:rPr>
          <w:spacing w:val="-12"/>
          <w:sz w:val="20"/>
        </w:rPr>
        <w:t> </w:t>
      </w:r>
      <w:r>
        <w:rPr>
          <w:sz w:val="20"/>
        </w:rPr>
        <w:t>ve</w:t>
      </w:r>
    </w:p>
    <w:p>
      <w:pPr>
        <w:pStyle w:val="ListParagraph"/>
        <w:numPr>
          <w:ilvl w:val="0"/>
          <w:numId w:val="64"/>
        </w:numPr>
        <w:tabs>
          <w:tab w:pos="974" w:val="left" w:leader="none"/>
        </w:tabs>
        <w:spacing w:line="240" w:lineRule="auto" w:before="106" w:after="0"/>
        <w:ind w:left="973" w:right="0" w:hanging="247"/>
        <w:jc w:val="both"/>
        <w:rPr>
          <w:sz w:val="20"/>
        </w:rPr>
      </w:pPr>
      <w:r>
        <w:rPr>
          <w:sz w:val="20"/>
        </w:rPr>
        <w:t>denetim makamının talep ettiği diğer</w:t>
      </w:r>
      <w:r>
        <w:rPr>
          <w:spacing w:val="-3"/>
          <w:sz w:val="20"/>
        </w:rPr>
        <w:t> </w:t>
      </w:r>
      <w:r>
        <w:rPr>
          <w:sz w:val="20"/>
        </w:rPr>
        <w:t>bilgiler.</w:t>
      </w:r>
    </w:p>
    <w:p>
      <w:pPr>
        <w:pStyle w:val="BodyText"/>
        <w:spacing w:before="8"/>
        <w:rPr>
          <w:sz w:val="26"/>
        </w:rPr>
      </w:pPr>
    </w:p>
    <w:p>
      <w:pPr>
        <w:pStyle w:val="ListParagraph"/>
        <w:numPr>
          <w:ilvl w:val="0"/>
          <w:numId w:val="63"/>
        </w:numPr>
        <w:tabs>
          <w:tab w:pos="958" w:val="left" w:leader="none"/>
        </w:tabs>
        <w:spacing w:line="276" w:lineRule="auto" w:before="1" w:after="0"/>
        <w:ind w:left="726" w:right="697" w:firstLine="0"/>
        <w:jc w:val="both"/>
        <w:rPr>
          <w:sz w:val="20"/>
        </w:rPr>
      </w:pPr>
      <w:r>
        <w:rPr>
          <w:sz w:val="20"/>
        </w:rPr>
        <w:t>Üye devletler bir ulusal parlamento tarafından kabul edilecek bir yasama tedbiri teklifinin veya böylesi bir yasama tedbirine yönelik olarak işleme faaliyetine ilişkin bir düzenleme tedbirinin hazırlanması esnasında denetim makamına</w:t>
      </w:r>
      <w:r>
        <w:rPr>
          <w:spacing w:val="-2"/>
          <w:sz w:val="20"/>
        </w:rPr>
        <w:t> </w:t>
      </w:r>
      <w:r>
        <w:rPr>
          <w:sz w:val="20"/>
        </w:rPr>
        <w:t>danışır.</w:t>
      </w:r>
    </w:p>
    <w:p>
      <w:pPr>
        <w:pStyle w:val="BodyText"/>
        <w:rPr>
          <w:sz w:val="22"/>
        </w:rPr>
      </w:pPr>
    </w:p>
    <w:p>
      <w:pPr>
        <w:pStyle w:val="BodyText"/>
        <w:spacing w:before="7"/>
        <w:rPr>
          <w:sz w:val="24"/>
        </w:rPr>
      </w:pPr>
    </w:p>
    <w:p>
      <w:pPr>
        <w:pStyle w:val="ListParagraph"/>
        <w:numPr>
          <w:ilvl w:val="0"/>
          <w:numId w:val="63"/>
        </w:numPr>
        <w:tabs>
          <w:tab w:pos="951" w:val="left" w:leader="none"/>
        </w:tabs>
        <w:spacing w:line="276" w:lineRule="auto" w:before="0" w:after="0"/>
        <w:ind w:left="726" w:right="699" w:firstLine="0"/>
        <w:jc w:val="both"/>
        <w:rPr>
          <w:sz w:val="20"/>
        </w:rPr>
      </w:pPr>
      <w:r>
        <w:rPr>
          <w:sz w:val="20"/>
        </w:rPr>
        <w:t>1. paragrafa bakılmaksızın, üye devlet hukuku çerçevesinde sosyal koruma ve halk sağlığına ilişkin bir işleme faaliyeti de dahil olmak üzere kontrolör tarafından kamu yararına gerçekleştirilen bir görevin yürütülmesine yönelik olarak bir kontrol tarafından gerçekleştirilecek işleme faaliyeti ile alakalı olarak kontrolörlerin denetim makamına danışması ve ön onay alması</w:t>
      </w:r>
      <w:r>
        <w:rPr>
          <w:spacing w:val="-11"/>
          <w:sz w:val="20"/>
        </w:rPr>
        <w:t> </w:t>
      </w:r>
      <w:r>
        <w:rPr>
          <w:sz w:val="20"/>
        </w:rPr>
        <w:t>gerekebilir.</w:t>
      </w:r>
    </w:p>
    <w:p>
      <w:pPr>
        <w:pStyle w:val="BodyText"/>
        <w:rPr>
          <w:sz w:val="23"/>
        </w:rPr>
      </w:pPr>
    </w:p>
    <w:p>
      <w:pPr>
        <w:pStyle w:val="BodyText"/>
        <w:ind w:left="2207" w:right="2222"/>
        <w:jc w:val="center"/>
      </w:pPr>
      <w:r>
        <w:rPr/>
        <w:t>Kesim 4</w:t>
      </w:r>
    </w:p>
    <w:p>
      <w:pPr>
        <w:pStyle w:val="BodyText"/>
        <w:spacing w:before="11"/>
        <w:rPr>
          <w:sz w:val="25"/>
        </w:rPr>
      </w:pPr>
    </w:p>
    <w:p>
      <w:pPr>
        <w:pStyle w:val="Heading1"/>
        <w:ind w:right="2207"/>
      </w:pPr>
      <w:r>
        <w:rPr/>
        <w:t>Veri koruma görevlisi</w:t>
      </w:r>
    </w:p>
    <w:p>
      <w:pPr>
        <w:pStyle w:val="BodyText"/>
        <w:spacing w:before="4"/>
        <w:rPr>
          <w:b/>
          <w:sz w:val="26"/>
        </w:rPr>
      </w:pPr>
    </w:p>
    <w:p>
      <w:pPr>
        <w:pStyle w:val="BodyText"/>
        <w:spacing w:line="276" w:lineRule="auto"/>
        <w:ind w:left="5035" w:right="5053"/>
        <w:jc w:val="center"/>
      </w:pPr>
      <w:r>
        <w:rPr/>
        <w:t>Madde 37</w:t>
      </w:r>
    </w:p>
    <w:p>
      <w:pPr>
        <w:pStyle w:val="BodyText"/>
        <w:spacing w:before="7"/>
        <w:rPr>
          <w:sz w:val="22"/>
        </w:rPr>
      </w:pPr>
    </w:p>
    <w:p>
      <w:pPr>
        <w:pStyle w:val="Heading1"/>
        <w:spacing w:line="276" w:lineRule="auto" w:before="1"/>
        <w:ind w:left="4025" w:right="4046"/>
      </w:pPr>
      <w:r>
        <w:rPr/>
        <w:t>Veri koruma görevlisinin belirlenmesi</w:t>
      </w:r>
    </w:p>
    <w:p>
      <w:pPr>
        <w:pStyle w:val="BodyText"/>
        <w:spacing w:before="4"/>
        <w:rPr>
          <w:b/>
          <w:sz w:val="24"/>
        </w:rPr>
      </w:pPr>
    </w:p>
    <w:p>
      <w:pPr>
        <w:pStyle w:val="ListParagraph"/>
        <w:numPr>
          <w:ilvl w:val="0"/>
          <w:numId w:val="65"/>
        </w:numPr>
        <w:tabs>
          <w:tab w:pos="948" w:val="left" w:leader="none"/>
        </w:tabs>
        <w:spacing w:line="240" w:lineRule="auto" w:before="0" w:after="0"/>
        <w:ind w:left="726" w:right="0" w:firstLine="0"/>
        <w:jc w:val="both"/>
        <w:rPr>
          <w:sz w:val="20"/>
        </w:rPr>
      </w:pPr>
      <w:r>
        <w:rPr>
          <w:sz w:val="20"/>
        </w:rPr>
        <w:t>Kontrolör ve işleyici aşağıdaki durumlarda her halükarda bir veri koruma görevlisi</w:t>
      </w:r>
      <w:r>
        <w:rPr>
          <w:spacing w:val="-20"/>
          <w:sz w:val="20"/>
        </w:rPr>
        <w:t> </w:t>
      </w:r>
      <w:r>
        <w:rPr>
          <w:sz w:val="20"/>
        </w:rPr>
        <w:t>belirler:</w:t>
      </w:r>
    </w:p>
    <w:p>
      <w:pPr>
        <w:pStyle w:val="ListParagraph"/>
        <w:numPr>
          <w:ilvl w:val="0"/>
          <w:numId w:val="66"/>
        </w:numPr>
        <w:tabs>
          <w:tab w:pos="1044" w:val="left" w:leader="none"/>
        </w:tabs>
        <w:spacing w:line="278" w:lineRule="auto" w:before="106" w:after="0"/>
        <w:ind w:left="726" w:right="1378" w:firstLine="0"/>
        <w:jc w:val="left"/>
        <w:rPr>
          <w:sz w:val="20"/>
        </w:rPr>
      </w:pPr>
      <w:r>
        <w:rPr>
          <w:sz w:val="20"/>
        </w:rPr>
        <w:t>işleme faaliyetinin kendi yargı yetkisi çerçevesinde hareket eden mahkemeler haricindeki bir kamu kuruluşu veya organı tarafından</w:t>
      </w:r>
      <w:r>
        <w:rPr>
          <w:spacing w:val="-5"/>
          <w:sz w:val="20"/>
        </w:rPr>
        <w:t> </w:t>
      </w:r>
      <w:r>
        <w:rPr>
          <w:sz w:val="20"/>
        </w:rPr>
        <w:t>gerçekleştirilmesi;</w:t>
      </w:r>
    </w:p>
    <w:p>
      <w:pPr>
        <w:pStyle w:val="BodyText"/>
        <w:spacing w:before="3"/>
        <w:rPr>
          <w:sz w:val="23"/>
        </w:rPr>
      </w:pPr>
    </w:p>
    <w:p>
      <w:pPr>
        <w:pStyle w:val="ListParagraph"/>
        <w:numPr>
          <w:ilvl w:val="0"/>
          <w:numId w:val="66"/>
        </w:numPr>
        <w:tabs>
          <w:tab w:pos="1089" w:val="left" w:leader="none"/>
        </w:tabs>
        <w:spacing w:line="276" w:lineRule="auto" w:before="0" w:after="0"/>
        <w:ind w:left="1022" w:right="697" w:hanging="296"/>
        <w:jc w:val="both"/>
        <w:rPr>
          <w:sz w:val="20"/>
        </w:rPr>
      </w:pPr>
      <w:r>
        <w:rPr>
          <w:sz w:val="20"/>
        </w:rPr>
        <w:t>kontrolör veya işleyicinin temel faaliyetlerinin yapıları, kapsamları ve/veya amaçları gereği veri sahiplerinin düzenli ve sistematik bir şekilde büyük çaplı olarak izlenmesini gerektiren işleme faaliyetlerinden meydana gelmesi</w:t>
      </w:r>
      <w:r>
        <w:rPr>
          <w:spacing w:val="-5"/>
          <w:sz w:val="20"/>
        </w:rPr>
        <w:t> </w:t>
      </w:r>
      <w:r>
        <w:rPr>
          <w:sz w:val="20"/>
        </w:rPr>
        <w:t>veya</w:t>
      </w:r>
    </w:p>
    <w:p>
      <w:pPr>
        <w:pStyle w:val="BodyText"/>
        <w:spacing w:before="1"/>
        <w:rPr>
          <w:sz w:val="24"/>
        </w:rPr>
      </w:pPr>
    </w:p>
    <w:p>
      <w:pPr>
        <w:pStyle w:val="ListParagraph"/>
        <w:numPr>
          <w:ilvl w:val="0"/>
          <w:numId w:val="66"/>
        </w:numPr>
        <w:tabs>
          <w:tab w:pos="1024" w:val="left" w:leader="none"/>
        </w:tabs>
        <w:spacing w:line="276" w:lineRule="auto" w:before="0" w:after="0"/>
        <w:ind w:left="1022" w:right="697" w:hanging="296"/>
        <w:jc w:val="both"/>
        <w:rPr>
          <w:sz w:val="20"/>
        </w:rPr>
      </w:pPr>
      <w:r>
        <w:rPr>
          <w:sz w:val="20"/>
        </w:rPr>
        <w:t>kontrolör veya işleyicinin temel faaliyetlerinin 9 maddesi uyarınca özel kategorilerdeki verilerin ve 10. maddede atıfta bulunulan mahkumiyet kararları ve ceza gerektiren suçlara ilişkin kişisel verilerin büyük çaplı olarak işlenmesinden meydana</w:t>
      </w:r>
      <w:r>
        <w:rPr>
          <w:spacing w:val="-1"/>
          <w:sz w:val="20"/>
        </w:rPr>
        <w:t> </w:t>
      </w:r>
      <w:r>
        <w:rPr>
          <w:sz w:val="20"/>
        </w:rPr>
        <w:t>gelmesi.</w:t>
      </w:r>
    </w:p>
    <w:p>
      <w:pPr>
        <w:pStyle w:val="BodyText"/>
        <w:spacing w:before="11"/>
        <w:rPr>
          <w:sz w:val="23"/>
        </w:rPr>
      </w:pPr>
    </w:p>
    <w:p>
      <w:pPr>
        <w:pStyle w:val="ListParagraph"/>
        <w:numPr>
          <w:ilvl w:val="0"/>
          <w:numId w:val="65"/>
        </w:numPr>
        <w:tabs>
          <w:tab w:pos="1140" w:val="left" w:leader="none"/>
        </w:tabs>
        <w:spacing w:line="276" w:lineRule="auto" w:before="0" w:after="0"/>
        <w:ind w:left="726" w:right="697" w:firstLine="0"/>
        <w:jc w:val="both"/>
        <w:rPr>
          <w:sz w:val="20"/>
        </w:rPr>
      </w:pPr>
      <w:r>
        <w:rPr>
          <w:sz w:val="20"/>
        </w:rPr>
        <w:t>Bir veri koruma görevlisine her işletmeden kolay bir şekilde erişilebilmesi koşuluyla, bir teşebbüsler grubu tek bir veri koruma görevlisi</w:t>
      </w:r>
      <w:r>
        <w:rPr>
          <w:spacing w:val="-5"/>
          <w:sz w:val="20"/>
        </w:rPr>
        <w:t> </w:t>
      </w:r>
      <w:r>
        <w:rPr>
          <w:sz w:val="20"/>
        </w:rPr>
        <w:t>belirleyebilir.</w:t>
      </w:r>
    </w:p>
    <w:p>
      <w:pPr>
        <w:pStyle w:val="BodyText"/>
        <w:rPr>
          <w:sz w:val="22"/>
        </w:rPr>
      </w:pPr>
    </w:p>
    <w:p>
      <w:pPr>
        <w:pStyle w:val="BodyText"/>
        <w:spacing w:before="8"/>
        <w:rPr>
          <w:sz w:val="24"/>
        </w:rPr>
      </w:pPr>
    </w:p>
    <w:p>
      <w:pPr>
        <w:pStyle w:val="ListParagraph"/>
        <w:numPr>
          <w:ilvl w:val="0"/>
          <w:numId w:val="65"/>
        </w:numPr>
        <w:tabs>
          <w:tab w:pos="951" w:val="left" w:leader="none"/>
        </w:tabs>
        <w:spacing w:line="276" w:lineRule="auto" w:before="0" w:after="0"/>
        <w:ind w:left="726" w:right="697" w:firstLine="0"/>
        <w:jc w:val="both"/>
        <w:rPr>
          <w:sz w:val="20"/>
        </w:rPr>
      </w:pPr>
      <w:r>
        <w:rPr>
          <w:sz w:val="20"/>
        </w:rPr>
        <w:t>Kontrolör veya işleyicinin bir kamu kuruluşu ya da organı olduğu hallerde, çeşitli kamu kuruluşları veya organların teşkilat yapısı dikkate alınarak, bunlara yönelik olarak tek bir veri koruma görevlisi belirlenebilir.</w:t>
      </w:r>
    </w:p>
    <w:p>
      <w:pPr>
        <w:pStyle w:val="BodyText"/>
        <w:rPr>
          <w:sz w:val="22"/>
        </w:rPr>
      </w:pPr>
    </w:p>
    <w:p>
      <w:pPr>
        <w:pStyle w:val="BodyText"/>
        <w:spacing w:before="9"/>
        <w:rPr>
          <w:sz w:val="24"/>
        </w:rPr>
      </w:pPr>
    </w:p>
    <w:p>
      <w:pPr>
        <w:pStyle w:val="ListParagraph"/>
        <w:numPr>
          <w:ilvl w:val="0"/>
          <w:numId w:val="65"/>
        </w:numPr>
        <w:tabs>
          <w:tab w:pos="1001" w:val="left" w:leader="none"/>
        </w:tabs>
        <w:spacing w:line="276" w:lineRule="auto" w:before="0" w:after="0"/>
        <w:ind w:left="726" w:right="697" w:firstLine="0"/>
        <w:jc w:val="both"/>
        <w:rPr>
          <w:sz w:val="20"/>
        </w:rPr>
      </w:pPr>
      <w:r>
        <w:rPr>
          <w:sz w:val="20"/>
        </w:rPr>
        <w:t>1. paragrafta atıfta bulunulanlar haricindeki durumlarda, kontrolör veya işleyici ya da birlikler ve kontrolör ya da işleyici kategorilerini temsil eden diğer organlar </w:t>
      </w:r>
      <w:r>
        <w:rPr>
          <w:spacing w:val="1"/>
          <w:sz w:val="20"/>
        </w:rPr>
        <w:t>bir </w:t>
      </w:r>
      <w:r>
        <w:rPr>
          <w:sz w:val="20"/>
        </w:rPr>
        <w:t>veri koruma görevlisi belirleyebilir veya, Birlik veya üye devlet hukuku çerçevesinde gerektiği hallerde, bir veri koruma görevlisi belirler. Veri koruma görevlisi söz konusu birlikler ve kontrolörler ya da işleyicileri temsil eden diğer organlar adına hareket</w:t>
      </w:r>
      <w:r>
        <w:rPr>
          <w:spacing w:val="-2"/>
          <w:sz w:val="20"/>
        </w:rPr>
        <w:t> </w:t>
      </w:r>
      <w:r>
        <w:rPr>
          <w:sz w:val="20"/>
        </w:rPr>
        <w:t>edebilir.</w:t>
      </w:r>
    </w:p>
    <w:p>
      <w:pPr>
        <w:pStyle w:val="BodyText"/>
        <w:rPr>
          <w:sz w:val="22"/>
        </w:rPr>
      </w:pPr>
    </w:p>
    <w:p>
      <w:pPr>
        <w:pStyle w:val="BodyText"/>
        <w:spacing w:before="7"/>
        <w:rPr>
          <w:sz w:val="24"/>
        </w:rPr>
      </w:pPr>
    </w:p>
    <w:p>
      <w:pPr>
        <w:pStyle w:val="ListParagraph"/>
        <w:numPr>
          <w:ilvl w:val="0"/>
          <w:numId w:val="65"/>
        </w:numPr>
        <w:tabs>
          <w:tab w:pos="1140" w:val="left" w:leader="none"/>
        </w:tabs>
        <w:spacing w:line="276" w:lineRule="auto" w:before="0" w:after="0"/>
        <w:ind w:left="726" w:right="696" w:firstLine="0"/>
        <w:jc w:val="both"/>
        <w:rPr>
          <w:sz w:val="20"/>
        </w:rPr>
      </w:pPr>
      <w:r>
        <w:rPr>
          <w:sz w:val="20"/>
        </w:rPr>
        <w:t>Veri koruma görevlisi mesleki nitelikler ve, özellikle, veri koruma hukuku ve uygulamalarına ilişkin uzmanlık bilgisi ve 39. maddede atıfta bulunulan görevleri yerine getirme kabiliyetine dayalı olarak belirlenir.</w:t>
      </w:r>
    </w:p>
    <w:p>
      <w:pPr>
        <w:spacing w:after="0" w:line="276"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65"/>
        </w:numPr>
        <w:tabs>
          <w:tab w:pos="1140" w:val="left" w:leader="none"/>
        </w:tabs>
        <w:spacing w:line="276" w:lineRule="auto" w:before="66" w:after="0"/>
        <w:ind w:left="726" w:right="699" w:firstLine="0"/>
        <w:jc w:val="both"/>
        <w:rPr>
          <w:sz w:val="20"/>
        </w:rPr>
      </w:pPr>
      <w:r>
        <w:rPr>
          <w:sz w:val="20"/>
        </w:rPr>
        <w:t>Veri koruma görevlisi kontrolör veya işleyicinin bir çalışanı olabilir veya görevlerini bir hizmet sözleşmesine dayalı olarak yerine</w:t>
      </w:r>
      <w:r>
        <w:rPr>
          <w:spacing w:val="1"/>
          <w:sz w:val="20"/>
        </w:rPr>
        <w:t> </w:t>
      </w:r>
      <w:r>
        <w:rPr>
          <w:sz w:val="20"/>
        </w:rPr>
        <w:t>getirebilir.</w:t>
      </w:r>
    </w:p>
    <w:p>
      <w:pPr>
        <w:pStyle w:val="BodyText"/>
        <w:rPr>
          <w:sz w:val="22"/>
        </w:rPr>
      </w:pPr>
    </w:p>
    <w:p>
      <w:pPr>
        <w:pStyle w:val="BodyText"/>
        <w:spacing w:before="8"/>
        <w:rPr>
          <w:sz w:val="24"/>
        </w:rPr>
      </w:pPr>
    </w:p>
    <w:p>
      <w:pPr>
        <w:pStyle w:val="ListParagraph"/>
        <w:numPr>
          <w:ilvl w:val="0"/>
          <w:numId w:val="65"/>
        </w:numPr>
        <w:tabs>
          <w:tab w:pos="1139" w:val="left" w:leader="none"/>
          <w:tab w:pos="1140" w:val="left" w:leader="none"/>
        </w:tabs>
        <w:spacing w:line="240" w:lineRule="auto" w:before="0" w:after="0"/>
        <w:ind w:left="1139" w:right="0" w:hanging="413"/>
        <w:jc w:val="left"/>
        <w:rPr>
          <w:sz w:val="20"/>
        </w:rPr>
      </w:pPr>
      <w:r>
        <w:rPr>
          <w:sz w:val="20"/>
        </w:rPr>
        <w:t>Kontrolör veya işleyici veri koruma görevlisinin irtibat bilgilerini yayımlar ve denetim makamına</w:t>
      </w:r>
      <w:r>
        <w:rPr>
          <w:spacing w:val="-26"/>
          <w:sz w:val="20"/>
        </w:rPr>
        <w:t> </w:t>
      </w:r>
      <w:r>
        <w:rPr>
          <w:sz w:val="20"/>
        </w:rPr>
        <w:t>iletir.</w:t>
      </w:r>
    </w:p>
    <w:p>
      <w:pPr>
        <w:pStyle w:val="BodyText"/>
        <w:rPr>
          <w:sz w:val="22"/>
        </w:rPr>
      </w:pPr>
    </w:p>
    <w:p>
      <w:pPr>
        <w:pStyle w:val="BodyText"/>
        <w:spacing w:before="1"/>
        <w:rPr>
          <w:sz w:val="27"/>
        </w:rPr>
      </w:pPr>
    </w:p>
    <w:p>
      <w:pPr>
        <w:pStyle w:val="BodyText"/>
        <w:spacing w:line="276" w:lineRule="auto"/>
        <w:ind w:left="5035" w:right="5053"/>
        <w:jc w:val="center"/>
      </w:pPr>
      <w:r>
        <w:rPr/>
        <w:t>Madde 38</w:t>
      </w:r>
    </w:p>
    <w:p>
      <w:pPr>
        <w:pStyle w:val="BodyText"/>
        <w:spacing w:before="10"/>
        <w:rPr>
          <w:sz w:val="22"/>
        </w:rPr>
      </w:pPr>
    </w:p>
    <w:p>
      <w:pPr>
        <w:pStyle w:val="Heading1"/>
        <w:ind w:left="2205"/>
      </w:pPr>
      <w:r>
        <w:rPr/>
        <w:t>Veri koruma görevlisinin konumu</w:t>
      </w:r>
    </w:p>
    <w:p>
      <w:pPr>
        <w:pStyle w:val="BodyText"/>
        <w:rPr>
          <w:b/>
          <w:sz w:val="22"/>
        </w:rPr>
      </w:pPr>
    </w:p>
    <w:p>
      <w:pPr>
        <w:pStyle w:val="BodyText"/>
        <w:spacing w:before="7"/>
        <w:rPr>
          <w:b/>
          <w:sz w:val="27"/>
        </w:rPr>
      </w:pPr>
    </w:p>
    <w:p>
      <w:pPr>
        <w:pStyle w:val="ListParagraph"/>
        <w:numPr>
          <w:ilvl w:val="0"/>
          <w:numId w:val="67"/>
        </w:numPr>
        <w:tabs>
          <w:tab w:pos="1140" w:val="left" w:leader="none"/>
        </w:tabs>
        <w:spacing w:line="276" w:lineRule="auto" w:before="0" w:after="0"/>
        <w:ind w:left="726" w:right="702" w:firstLine="0"/>
        <w:jc w:val="both"/>
        <w:rPr>
          <w:sz w:val="20"/>
        </w:rPr>
      </w:pPr>
      <w:r>
        <w:rPr>
          <w:sz w:val="20"/>
        </w:rPr>
        <w:t>Kontrolör ve işleyici veri koruma görevlisinin kişisel verilerin korunmasına ilişkin tüm konulara uygun bir şekilde ve zamanında müdahil olmasını</w:t>
      </w:r>
      <w:r>
        <w:rPr>
          <w:spacing w:val="-2"/>
          <w:sz w:val="20"/>
        </w:rPr>
        <w:t> </w:t>
      </w:r>
      <w:r>
        <w:rPr>
          <w:sz w:val="20"/>
        </w:rPr>
        <w:t>sağlar.</w:t>
      </w:r>
    </w:p>
    <w:p>
      <w:pPr>
        <w:pStyle w:val="BodyText"/>
        <w:spacing w:before="3"/>
        <w:rPr>
          <w:sz w:val="27"/>
        </w:rPr>
      </w:pPr>
    </w:p>
    <w:p>
      <w:pPr>
        <w:pStyle w:val="ListParagraph"/>
        <w:numPr>
          <w:ilvl w:val="0"/>
          <w:numId w:val="67"/>
        </w:numPr>
        <w:tabs>
          <w:tab w:pos="951" w:val="left" w:leader="none"/>
        </w:tabs>
        <w:spacing w:line="276" w:lineRule="auto" w:before="0" w:after="0"/>
        <w:ind w:left="726" w:right="692" w:firstLine="0"/>
        <w:jc w:val="both"/>
        <w:rPr>
          <w:sz w:val="20"/>
        </w:rPr>
      </w:pPr>
      <w:r>
        <w:rPr>
          <w:sz w:val="20"/>
        </w:rPr>
        <w:t>Kontrolör ve işleyici 39. maddede atıfta bulunulan görevlerin gerçekleştirilmesi, kişisel veriler ile işleme faaliyetlerine erişilmesi ve uzmanlık bilgisinin aynı seviyede tutulması için gereken kaynakları sağlayarak bu görevlerin yerine getirilmesi hususunda veri koruma görevlisine destek</w:t>
      </w:r>
      <w:r>
        <w:rPr>
          <w:spacing w:val="-15"/>
          <w:sz w:val="20"/>
        </w:rPr>
        <w:t> </w:t>
      </w:r>
      <w:r>
        <w:rPr>
          <w:sz w:val="20"/>
        </w:rPr>
        <w:t>verir.</w:t>
      </w:r>
    </w:p>
    <w:p>
      <w:pPr>
        <w:pStyle w:val="BodyText"/>
        <w:rPr>
          <w:sz w:val="22"/>
        </w:rPr>
      </w:pPr>
    </w:p>
    <w:p>
      <w:pPr>
        <w:pStyle w:val="BodyText"/>
        <w:spacing w:before="2"/>
        <w:rPr>
          <w:sz w:val="24"/>
        </w:rPr>
      </w:pPr>
    </w:p>
    <w:p>
      <w:pPr>
        <w:pStyle w:val="ListParagraph"/>
        <w:numPr>
          <w:ilvl w:val="0"/>
          <w:numId w:val="67"/>
        </w:numPr>
        <w:tabs>
          <w:tab w:pos="994" w:val="left" w:leader="none"/>
        </w:tabs>
        <w:spacing w:line="276" w:lineRule="auto" w:before="0" w:after="0"/>
        <w:ind w:left="726" w:right="694" w:firstLine="0"/>
        <w:jc w:val="both"/>
        <w:rPr>
          <w:sz w:val="20"/>
        </w:rPr>
      </w:pPr>
      <w:r>
        <w:rPr>
          <w:sz w:val="20"/>
        </w:rPr>
        <w:t>Kontrolör ve işleyici veri koruma görevlisinin bu görevlerin yerine getirilmesi ile ilgili olarak hiçbir talimat almamasını sağlar. Veri koruma görevlisi görevlerinin yerine getirilmesi nedeniyle kontrolör ya da işleyici tarafından işten çıkarılamaz veya cezalandırılamaz. Veri koruma görevlisi doğrudan kontrolör veya işleyicinin en üst yönetimine rapor verir.</w:t>
      </w:r>
    </w:p>
    <w:p>
      <w:pPr>
        <w:pStyle w:val="BodyText"/>
        <w:rPr>
          <w:sz w:val="22"/>
        </w:rPr>
      </w:pPr>
    </w:p>
    <w:p>
      <w:pPr>
        <w:pStyle w:val="BodyText"/>
        <w:spacing w:before="2"/>
        <w:rPr>
          <w:sz w:val="24"/>
        </w:rPr>
      </w:pPr>
    </w:p>
    <w:p>
      <w:pPr>
        <w:pStyle w:val="ListParagraph"/>
        <w:numPr>
          <w:ilvl w:val="0"/>
          <w:numId w:val="67"/>
        </w:numPr>
        <w:tabs>
          <w:tab w:pos="967" w:val="left" w:leader="none"/>
        </w:tabs>
        <w:spacing w:line="276" w:lineRule="auto" w:before="0" w:after="0"/>
        <w:ind w:left="726" w:right="703" w:firstLine="0"/>
        <w:jc w:val="both"/>
        <w:rPr>
          <w:sz w:val="20"/>
        </w:rPr>
      </w:pPr>
      <w:r>
        <w:rPr>
          <w:sz w:val="20"/>
        </w:rPr>
        <w:t>Veri sahipleri kişisel verilerinin işlenmesi ve bu Tüzük kapsamındaki haklarının kullanımı ile ilgili tüm hususlarla alakalı olarak veri koruma görevlisiyle irtibata</w:t>
      </w:r>
      <w:r>
        <w:rPr>
          <w:spacing w:val="-9"/>
          <w:sz w:val="20"/>
        </w:rPr>
        <w:t> </w:t>
      </w:r>
      <w:r>
        <w:rPr>
          <w:sz w:val="20"/>
        </w:rPr>
        <w:t>geçebilir.</w:t>
      </w:r>
    </w:p>
    <w:p>
      <w:pPr>
        <w:pStyle w:val="BodyText"/>
        <w:rPr>
          <w:sz w:val="22"/>
        </w:rPr>
      </w:pPr>
    </w:p>
    <w:p>
      <w:pPr>
        <w:pStyle w:val="BodyText"/>
        <w:spacing w:before="3"/>
        <w:rPr>
          <w:sz w:val="24"/>
        </w:rPr>
      </w:pPr>
    </w:p>
    <w:p>
      <w:pPr>
        <w:pStyle w:val="ListParagraph"/>
        <w:numPr>
          <w:ilvl w:val="0"/>
          <w:numId w:val="67"/>
        </w:numPr>
        <w:tabs>
          <w:tab w:pos="1140" w:val="left" w:leader="none"/>
        </w:tabs>
        <w:spacing w:line="276" w:lineRule="auto" w:before="0" w:after="0"/>
        <w:ind w:left="726" w:right="699" w:firstLine="0"/>
        <w:jc w:val="both"/>
        <w:rPr>
          <w:sz w:val="20"/>
        </w:rPr>
      </w:pPr>
      <w:r>
        <w:rPr>
          <w:sz w:val="20"/>
        </w:rPr>
        <w:t>Veri koruma görevlisi, Birlik veya üye devlet hukuku uyarınca, görevlerinin yerine getirilmesi ile ilgili olarak sır saklama veya gizlilik ilkelerine</w:t>
      </w:r>
      <w:r>
        <w:rPr>
          <w:spacing w:val="1"/>
          <w:sz w:val="20"/>
        </w:rPr>
        <w:t> </w:t>
      </w:r>
      <w:r>
        <w:rPr>
          <w:sz w:val="20"/>
        </w:rPr>
        <w:t>bağlıdır.</w:t>
      </w:r>
    </w:p>
    <w:p>
      <w:pPr>
        <w:pStyle w:val="BodyText"/>
        <w:rPr>
          <w:sz w:val="22"/>
        </w:rPr>
      </w:pPr>
    </w:p>
    <w:p>
      <w:pPr>
        <w:pStyle w:val="BodyText"/>
        <w:spacing w:before="1"/>
        <w:rPr>
          <w:sz w:val="24"/>
        </w:rPr>
      </w:pPr>
    </w:p>
    <w:p>
      <w:pPr>
        <w:pStyle w:val="ListParagraph"/>
        <w:numPr>
          <w:ilvl w:val="0"/>
          <w:numId w:val="67"/>
        </w:numPr>
        <w:tabs>
          <w:tab w:pos="987" w:val="left" w:leader="none"/>
        </w:tabs>
        <w:spacing w:line="278" w:lineRule="auto" w:before="0" w:after="0"/>
        <w:ind w:left="726" w:right="692" w:firstLine="0"/>
        <w:jc w:val="both"/>
        <w:rPr>
          <w:sz w:val="20"/>
        </w:rPr>
      </w:pPr>
      <w:r>
        <w:rPr>
          <w:sz w:val="20"/>
        </w:rPr>
        <w:t>Veri koruma görevlisi başka görevleri ve vazifeleri </w:t>
      </w:r>
      <w:r>
        <w:rPr>
          <w:spacing w:val="2"/>
          <w:sz w:val="20"/>
        </w:rPr>
        <w:t>de </w:t>
      </w:r>
      <w:r>
        <w:rPr>
          <w:sz w:val="20"/>
        </w:rPr>
        <w:t>yerine getirebilir. Kontrolör veya işleyici söz konusu görev ve vazifelerin bir çıkar çatışmasına neden olmamasını</w:t>
      </w:r>
      <w:r>
        <w:rPr>
          <w:spacing w:val="-12"/>
          <w:sz w:val="20"/>
        </w:rPr>
        <w:t> </w:t>
      </w:r>
      <w:r>
        <w:rPr>
          <w:sz w:val="20"/>
        </w:rPr>
        <w:t>sağlar.</w:t>
      </w:r>
    </w:p>
    <w:p>
      <w:pPr>
        <w:pStyle w:val="BodyText"/>
        <w:rPr>
          <w:sz w:val="22"/>
        </w:rPr>
      </w:pPr>
    </w:p>
    <w:p>
      <w:pPr>
        <w:pStyle w:val="BodyText"/>
        <w:spacing w:before="8"/>
        <w:rPr>
          <w:sz w:val="24"/>
        </w:rPr>
      </w:pPr>
    </w:p>
    <w:p>
      <w:pPr>
        <w:pStyle w:val="BodyText"/>
        <w:spacing w:line="276" w:lineRule="auto"/>
        <w:ind w:left="5035" w:right="5053"/>
        <w:jc w:val="center"/>
      </w:pPr>
      <w:r>
        <w:rPr/>
        <w:t>Madde 39</w:t>
      </w:r>
    </w:p>
    <w:p>
      <w:pPr>
        <w:pStyle w:val="BodyText"/>
        <w:rPr>
          <w:sz w:val="22"/>
        </w:rPr>
      </w:pPr>
    </w:p>
    <w:p>
      <w:pPr>
        <w:pStyle w:val="BodyText"/>
        <w:spacing w:before="3"/>
        <w:rPr>
          <w:sz w:val="24"/>
        </w:rPr>
      </w:pPr>
    </w:p>
    <w:p>
      <w:pPr>
        <w:pStyle w:val="Heading1"/>
        <w:spacing w:line="276" w:lineRule="auto"/>
        <w:ind w:left="4025" w:right="4046"/>
      </w:pPr>
      <w:r>
        <w:rPr/>
        <w:t>Veri koruma görevlisinin görevleri</w:t>
      </w:r>
    </w:p>
    <w:p>
      <w:pPr>
        <w:pStyle w:val="BodyText"/>
        <w:spacing w:before="8"/>
        <w:rPr>
          <w:b/>
          <w:sz w:val="23"/>
        </w:rPr>
      </w:pPr>
    </w:p>
    <w:p>
      <w:pPr>
        <w:pStyle w:val="ListParagraph"/>
        <w:numPr>
          <w:ilvl w:val="0"/>
          <w:numId w:val="68"/>
        </w:numPr>
        <w:tabs>
          <w:tab w:pos="948" w:val="left" w:leader="none"/>
        </w:tabs>
        <w:spacing w:line="240" w:lineRule="auto" w:before="0" w:after="0"/>
        <w:ind w:left="726" w:right="0" w:firstLine="0"/>
        <w:jc w:val="left"/>
        <w:rPr>
          <w:sz w:val="20"/>
        </w:rPr>
      </w:pPr>
      <w:r>
        <w:rPr>
          <w:sz w:val="20"/>
        </w:rPr>
        <w:t>Veri koruma görevlisinin en azından aşağıdaki görevleri</w:t>
      </w:r>
      <w:r>
        <w:rPr>
          <w:spacing w:val="-9"/>
          <w:sz w:val="20"/>
        </w:rPr>
        <w:t> </w:t>
      </w:r>
      <w:r>
        <w:rPr>
          <w:sz w:val="20"/>
        </w:rPr>
        <w:t>bulunur:</w:t>
      </w:r>
    </w:p>
    <w:p>
      <w:pPr>
        <w:pStyle w:val="BodyText"/>
        <w:spacing w:before="4"/>
        <w:rPr>
          <w:sz w:val="26"/>
        </w:rPr>
      </w:pPr>
    </w:p>
    <w:p>
      <w:pPr>
        <w:pStyle w:val="ListParagraph"/>
        <w:numPr>
          <w:ilvl w:val="0"/>
          <w:numId w:val="69"/>
        </w:numPr>
        <w:tabs>
          <w:tab w:pos="1053" w:val="left" w:leader="none"/>
        </w:tabs>
        <w:spacing w:line="276" w:lineRule="auto" w:before="1" w:after="0"/>
        <w:ind w:left="1022" w:right="700" w:hanging="296"/>
        <w:jc w:val="both"/>
        <w:rPr>
          <w:sz w:val="20"/>
        </w:rPr>
      </w:pPr>
      <w:r>
        <w:rPr>
          <w:sz w:val="20"/>
        </w:rPr>
        <w:t>kontrolör veya işleyici ile işleme faaliyetleri gerçekleştiren çalışanların bu Tüzük ile Birlik veya üye devletlerin diğer veri koruma hükümleri uyarınca yükümlülükleri hususunda bilgilendirilmesi ve onlara tavsiyede</w:t>
      </w:r>
      <w:r>
        <w:rPr>
          <w:spacing w:val="-1"/>
          <w:sz w:val="20"/>
        </w:rPr>
        <w:t> </w:t>
      </w:r>
      <w:r>
        <w:rPr>
          <w:sz w:val="20"/>
        </w:rPr>
        <w:t>bulunulması;</w:t>
      </w:r>
    </w:p>
    <w:p>
      <w:pPr>
        <w:pStyle w:val="BodyText"/>
        <w:spacing w:before="10"/>
        <w:rPr>
          <w:sz w:val="23"/>
        </w:rPr>
      </w:pPr>
    </w:p>
    <w:p>
      <w:pPr>
        <w:pStyle w:val="ListParagraph"/>
        <w:numPr>
          <w:ilvl w:val="0"/>
          <w:numId w:val="69"/>
        </w:numPr>
        <w:tabs>
          <w:tab w:pos="1087" w:val="left" w:leader="none"/>
        </w:tabs>
        <w:spacing w:line="276" w:lineRule="auto" w:before="0" w:after="0"/>
        <w:ind w:left="1086" w:right="690" w:hanging="360"/>
        <w:jc w:val="both"/>
        <w:rPr>
          <w:sz w:val="20"/>
        </w:rPr>
      </w:pPr>
      <w:r>
        <w:rPr>
          <w:sz w:val="20"/>
        </w:rPr>
        <w:t>bu Tüzük’e, Birlik veya üye devletlerin diğer veri koruma hükümlerine uyumluluğu ve sorumlulukların verilmesi, işleme faaliyetlerine müdahil personelin bilinçlendirilmesi ve eğitimi ve ilgili denetimler de dahil olmak üzere kontrolör veya işleyicinin kişisel verilerin korunmasına ilişkin politikalarına uyumluluğun</w:t>
      </w:r>
      <w:r>
        <w:rPr>
          <w:spacing w:val="-2"/>
          <w:sz w:val="20"/>
        </w:rPr>
        <w:t> </w:t>
      </w:r>
      <w:r>
        <w:rPr>
          <w:sz w:val="20"/>
        </w:rPr>
        <w:t>izlenmesi;</w:t>
      </w:r>
    </w:p>
    <w:p>
      <w:pPr>
        <w:spacing w:after="0" w:line="276"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69"/>
        </w:numPr>
        <w:tabs>
          <w:tab w:pos="1017" w:val="left" w:leader="none"/>
        </w:tabs>
        <w:spacing w:line="276" w:lineRule="auto" w:before="66" w:after="0"/>
        <w:ind w:left="1022" w:right="700" w:hanging="296"/>
        <w:jc w:val="left"/>
        <w:rPr>
          <w:sz w:val="20"/>
        </w:rPr>
      </w:pPr>
      <w:r>
        <w:rPr>
          <w:sz w:val="20"/>
        </w:rPr>
        <w:t>talep üzerine veri koruma etki değerlendirmesine ilişkin tavsiyede bulunulması ve 35. madde uyarınca bu değerlendirmenin performansının</w:t>
      </w:r>
      <w:r>
        <w:rPr>
          <w:spacing w:val="-5"/>
          <w:sz w:val="20"/>
        </w:rPr>
        <w:t> </w:t>
      </w:r>
      <w:r>
        <w:rPr>
          <w:sz w:val="20"/>
        </w:rPr>
        <w:t>izlenmesi;</w:t>
      </w:r>
    </w:p>
    <w:p>
      <w:pPr>
        <w:pStyle w:val="BodyText"/>
        <w:spacing w:before="6"/>
        <w:rPr>
          <w:sz w:val="23"/>
        </w:rPr>
      </w:pPr>
    </w:p>
    <w:p>
      <w:pPr>
        <w:pStyle w:val="ListParagraph"/>
        <w:numPr>
          <w:ilvl w:val="0"/>
          <w:numId w:val="69"/>
        </w:numPr>
        <w:tabs>
          <w:tab w:pos="1027" w:val="left" w:leader="none"/>
        </w:tabs>
        <w:spacing w:line="240" w:lineRule="auto" w:before="0" w:after="0"/>
        <w:ind w:left="1026" w:right="0" w:hanging="300"/>
        <w:jc w:val="left"/>
        <w:rPr>
          <w:sz w:val="20"/>
        </w:rPr>
      </w:pPr>
      <w:r>
        <w:rPr>
          <w:sz w:val="20"/>
        </w:rPr>
        <w:t>denetim makamıyla işbirliği</w:t>
      </w:r>
      <w:r>
        <w:rPr>
          <w:spacing w:val="-1"/>
          <w:sz w:val="20"/>
        </w:rPr>
        <w:t> </w:t>
      </w:r>
      <w:r>
        <w:rPr>
          <w:sz w:val="20"/>
        </w:rPr>
        <w:t>yapılması;</w:t>
      </w:r>
    </w:p>
    <w:p>
      <w:pPr>
        <w:pStyle w:val="BodyText"/>
        <w:spacing w:before="4"/>
        <w:rPr>
          <w:sz w:val="26"/>
        </w:rPr>
      </w:pPr>
    </w:p>
    <w:p>
      <w:pPr>
        <w:pStyle w:val="ListParagraph"/>
        <w:numPr>
          <w:ilvl w:val="0"/>
          <w:numId w:val="69"/>
        </w:numPr>
        <w:tabs>
          <w:tab w:pos="1060" w:val="left" w:leader="none"/>
        </w:tabs>
        <w:spacing w:line="276" w:lineRule="auto" w:before="0" w:after="0"/>
        <w:ind w:left="1022" w:right="700" w:hanging="296"/>
        <w:jc w:val="both"/>
        <w:rPr>
          <w:sz w:val="20"/>
        </w:rPr>
      </w:pPr>
      <w:r>
        <w:rPr>
          <w:sz w:val="20"/>
        </w:rPr>
        <w:t>36. maddede atıfta bulunulan ön istişare de dahil olmak üzere işleme faaliyetine ilişkin konularda denetim makamına yönelik bir temas noktası olarak hareket edilmesi ve, uygun olduğu hallerde, diğer her türlü konu ile ilgili olarak danışılması.</w:t>
      </w:r>
    </w:p>
    <w:p>
      <w:pPr>
        <w:pStyle w:val="BodyText"/>
        <w:spacing w:before="8"/>
        <w:rPr>
          <w:sz w:val="23"/>
        </w:rPr>
      </w:pPr>
    </w:p>
    <w:p>
      <w:pPr>
        <w:pStyle w:val="ListParagraph"/>
        <w:numPr>
          <w:ilvl w:val="0"/>
          <w:numId w:val="68"/>
        </w:numPr>
        <w:tabs>
          <w:tab w:pos="967" w:val="left" w:leader="none"/>
        </w:tabs>
        <w:spacing w:line="276" w:lineRule="auto" w:before="0" w:after="0"/>
        <w:ind w:left="726" w:right="700" w:firstLine="0"/>
        <w:jc w:val="left"/>
        <w:rPr>
          <w:sz w:val="20"/>
        </w:rPr>
      </w:pPr>
      <w:r>
        <w:rPr>
          <w:sz w:val="20"/>
        </w:rPr>
        <w:t>Veri koruma görevlisi, görevlerini yerine getirirken, işleme faaliyetinin mahiyeti, kapsamı, bağlamı ve amaçlarını dikkate alarak, işleme faaliyetleri ile ilişkili riski göz önünde</w:t>
      </w:r>
      <w:r>
        <w:rPr>
          <w:spacing w:val="-24"/>
          <w:sz w:val="20"/>
        </w:rPr>
        <w:t> </w:t>
      </w:r>
      <w:r>
        <w:rPr>
          <w:sz w:val="20"/>
        </w:rPr>
        <w:t>bulundurur.</w:t>
      </w:r>
    </w:p>
    <w:p>
      <w:pPr>
        <w:pStyle w:val="BodyText"/>
        <w:rPr>
          <w:sz w:val="22"/>
        </w:rPr>
      </w:pPr>
    </w:p>
    <w:p>
      <w:pPr>
        <w:pStyle w:val="BodyText"/>
        <w:spacing w:before="3"/>
        <w:rPr>
          <w:sz w:val="24"/>
        </w:rPr>
      </w:pPr>
    </w:p>
    <w:p>
      <w:pPr>
        <w:pStyle w:val="BodyText"/>
        <w:ind w:left="2207" w:right="2222"/>
        <w:jc w:val="center"/>
      </w:pPr>
      <w:r>
        <w:rPr/>
        <w:t>Kesim 5</w:t>
      </w:r>
    </w:p>
    <w:p>
      <w:pPr>
        <w:pStyle w:val="BodyText"/>
        <w:spacing w:before="7"/>
        <w:rPr>
          <w:sz w:val="26"/>
        </w:rPr>
      </w:pPr>
    </w:p>
    <w:p>
      <w:pPr>
        <w:pStyle w:val="Heading1"/>
        <w:ind w:right="2210"/>
      </w:pPr>
      <w:r>
        <w:rPr/>
        <w:t>Davranış kuralları ve belgelendirme</w:t>
      </w:r>
    </w:p>
    <w:p>
      <w:pPr>
        <w:pStyle w:val="BodyText"/>
        <w:spacing w:before="3"/>
        <w:rPr>
          <w:b/>
          <w:sz w:val="26"/>
        </w:rPr>
      </w:pPr>
    </w:p>
    <w:p>
      <w:pPr>
        <w:pStyle w:val="BodyText"/>
        <w:spacing w:line="276" w:lineRule="auto" w:before="1"/>
        <w:ind w:left="5035" w:right="5053"/>
        <w:jc w:val="center"/>
      </w:pPr>
      <w:r>
        <w:rPr/>
        <w:t>Madde 40</w:t>
      </w:r>
    </w:p>
    <w:p>
      <w:pPr>
        <w:pStyle w:val="BodyText"/>
        <w:spacing w:before="7"/>
        <w:rPr>
          <w:sz w:val="22"/>
        </w:rPr>
      </w:pPr>
    </w:p>
    <w:p>
      <w:pPr>
        <w:pStyle w:val="Heading1"/>
        <w:spacing w:line="278" w:lineRule="auto"/>
        <w:ind w:left="4669" w:right="4685"/>
      </w:pPr>
      <w:r>
        <w:rPr>
          <w:w w:val="95"/>
        </w:rPr>
        <w:t>Davranış </w:t>
      </w:r>
      <w:r>
        <w:rPr/>
        <w:t>kuralları</w:t>
      </w:r>
    </w:p>
    <w:p>
      <w:pPr>
        <w:pStyle w:val="BodyText"/>
        <w:spacing w:before="10"/>
        <w:rPr>
          <w:b/>
          <w:sz w:val="22"/>
        </w:rPr>
      </w:pPr>
    </w:p>
    <w:p>
      <w:pPr>
        <w:pStyle w:val="ListParagraph"/>
        <w:numPr>
          <w:ilvl w:val="0"/>
          <w:numId w:val="70"/>
        </w:numPr>
        <w:tabs>
          <w:tab w:pos="953" w:val="left" w:leader="none"/>
        </w:tabs>
        <w:spacing w:line="276" w:lineRule="auto" w:before="1" w:after="0"/>
        <w:ind w:left="726" w:right="697" w:firstLine="0"/>
        <w:jc w:val="both"/>
        <w:rPr>
          <w:sz w:val="20"/>
        </w:rPr>
      </w:pPr>
      <w:r>
        <w:rPr>
          <w:sz w:val="20"/>
        </w:rPr>
        <w:t>Üye devletler, denetim makamları, Kurul ve Komisyon, çeşitli işleme sektörlerinin spesifik özellikleri ve mikro, küçük ve orta büyüklükteki işletmelerin spesifik ihtiyaçlarını dikkate alarak, bu Tüzük’ün düzgün bir şekilde</w:t>
      </w:r>
      <w:r>
        <w:rPr>
          <w:spacing w:val="-7"/>
          <w:sz w:val="20"/>
        </w:rPr>
        <w:t> </w:t>
      </w:r>
      <w:r>
        <w:rPr>
          <w:sz w:val="20"/>
        </w:rPr>
        <w:t>uygulanmasına</w:t>
      </w:r>
      <w:r>
        <w:rPr>
          <w:spacing w:val="-6"/>
          <w:sz w:val="20"/>
        </w:rPr>
        <w:t> </w:t>
      </w:r>
      <w:r>
        <w:rPr>
          <w:sz w:val="20"/>
        </w:rPr>
        <w:t>katkıda</w:t>
      </w:r>
      <w:r>
        <w:rPr>
          <w:spacing w:val="-6"/>
          <w:sz w:val="20"/>
        </w:rPr>
        <w:t> </w:t>
      </w:r>
      <w:r>
        <w:rPr>
          <w:sz w:val="20"/>
        </w:rPr>
        <w:t>bulunması</w:t>
      </w:r>
      <w:r>
        <w:rPr>
          <w:spacing w:val="-6"/>
          <w:sz w:val="20"/>
        </w:rPr>
        <w:t> </w:t>
      </w:r>
      <w:r>
        <w:rPr>
          <w:sz w:val="20"/>
        </w:rPr>
        <w:t>amaçlanan</w:t>
      </w:r>
      <w:r>
        <w:rPr>
          <w:spacing w:val="-5"/>
          <w:sz w:val="20"/>
        </w:rPr>
        <w:t> </w:t>
      </w:r>
      <w:r>
        <w:rPr>
          <w:sz w:val="20"/>
        </w:rPr>
        <w:t>davranış</w:t>
      </w:r>
      <w:r>
        <w:rPr>
          <w:spacing w:val="-5"/>
          <w:sz w:val="20"/>
        </w:rPr>
        <w:t> </w:t>
      </w:r>
      <w:r>
        <w:rPr>
          <w:sz w:val="20"/>
        </w:rPr>
        <w:t>kurallarının</w:t>
      </w:r>
      <w:r>
        <w:rPr>
          <w:spacing w:val="-5"/>
          <w:sz w:val="20"/>
        </w:rPr>
        <w:t> </w:t>
      </w:r>
      <w:r>
        <w:rPr>
          <w:sz w:val="20"/>
        </w:rPr>
        <w:t>hazırlanmasını</w:t>
      </w:r>
      <w:r>
        <w:rPr>
          <w:spacing w:val="-6"/>
          <w:sz w:val="20"/>
        </w:rPr>
        <w:t> </w:t>
      </w:r>
      <w:r>
        <w:rPr>
          <w:sz w:val="20"/>
        </w:rPr>
        <w:t>teşvik</w:t>
      </w:r>
      <w:r>
        <w:rPr>
          <w:spacing w:val="-2"/>
          <w:sz w:val="20"/>
        </w:rPr>
        <w:t> </w:t>
      </w:r>
      <w:r>
        <w:rPr>
          <w:sz w:val="20"/>
        </w:rPr>
        <w:t>eder.</w:t>
      </w:r>
    </w:p>
    <w:p>
      <w:pPr>
        <w:pStyle w:val="BodyText"/>
        <w:rPr>
          <w:sz w:val="23"/>
        </w:rPr>
      </w:pPr>
    </w:p>
    <w:p>
      <w:pPr>
        <w:pStyle w:val="ListParagraph"/>
        <w:numPr>
          <w:ilvl w:val="0"/>
          <w:numId w:val="70"/>
        </w:numPr>
        <w:tabs>
          <w:tab w:pos="1140" w:val="left" w:leader="none"/>
        </w:tabs>
        <w:spacing w:line="276" w:lineRule="auto" w:before="0" w:after="0"/>
        <w:ind w:left="726" w:right="690" w:firstLine="0"/>
        <w:jc w:val="both"/>
        <w:rPr>
          <w:sz w:val="20"/>
        </w:rPr>
      </w:pPr>
      <w:r>
        <w:rPr>
          <w:sz w:val="20"/>
        </w:rPr>
        <w:t>Birlikler ve kontrolör veya işleyici kategorilerini temsil eden diğer organlar bu Tüzük’ün aşağıdaki hususlarla alakalı olarak uygulanmasını belirlemek amacıyla davranış kuralları hazırlayabilir veya bu kuralları değiştirebilir ya da bunların kapsamını</w:t>
      </w:r>
      <w:r>
        <w:rPr>
          <w:spacing w:val="-2"/>
          <w:sz w:val="20"/>
        </w:rPr>
        <w:t> </w:t>
      </w:r>
      <w:r>
        <w:rPr>
          <w:sz w:val="20"/>
        </w:rPr>
        <w:t>genişletebilir:</w:t>
      </w:r>
    </w:p>
    <w:p>
      <w:pPr>
        <w:pStyle w:val="BodyText"/>
        <w:spacing w:before="5"/>
        <w:rPr>
          <w:sz w:val="23"/>
        </w:rPr>
      </w:pPr>
    </w:p>
    <w:p>
      <w:pPr>
        <w:pStyle w:val="ListParagraph"/>
        <w:numPr>
          <w:ilvl w:val="0"/>
          <w:numId w:val="71"/>
        </w:numPr>
        <w:tabs>
          <w:tab w:pos="1027" w:val="left" w:leader="none"/>
        </w:tabs>
        <w:spacing w:line="240" w:lineRule="auto" w:before="1" w:after="0"/>
        <w:ind w:left="726" w:right="0" w:firstLine="0"/>
        <w:jc w:val="left"/>
        <w:rPr>
          <w:sz w:val="20"/>
        </w:rPr>
      </w:pPr>
      <w:r>
        <w:rPr>
          <w:sz w:val="20"/>
        </w:rPr>
        <w:t>adil ve şeffaf veri</w:t>
      </w:r>
      <w:r>
        <w:rPr>
          <w:spacing w:val="-2"/>
          <w:sz w:val="20"/>
        </w:rPr>
        <w:t> </w:t>
      </w:r>
      <w:r>
        <w:rPr>
          <w:sz w:val="20"/>
        </w:rPr>
        <w:t>işleme;</w:t>
      </w:r>
    </w:p>
    <w:p>
      <w:pPr>
        <w:pStyle w:val="BodyText"/>
        <w:spacing w:before="1"/>
        <w:rPr>
          <w:sz w:val="26"/>
        </w:rPr>
      </w:pPr>
    </w:p>
    <w:p>
      <w:pPr>
        <w:pStyle w:val="ListParagraph"/>
        <w:numPr>
          <w:ilvl w:val="0"/>
          <w:numId w:val="71"/>
        </w:numPr>
        <w:tabs>
          <w:tab w:pos="1027" w:val="left" w:leader="none"/>
        </w:tabs>
        <w:spacing w:line="240" w:lineRule="auto" w:before="0" w:after="0"/>
        <w:ind w:left="726" w:right="0" w:firstLine="0"/>
        <w:jc w:val="left"/>
        <w:rPr>
          <w:sz w:val="20"/>
        </w:rPr>
      </w:pPr>
      <w:r>
        <w:rPr>
          <w:sz w:val="20"/>
        </w:rPr>
        <w:t>kontrolörler tarafından spesifik bağlamlarda gözetilen meşru</w:t>
      </w:r>
      <w:r>
        <w:rPr>
          <w:spacing w:val="-8"/>
          <w:sz w:val="20"/>
        </w:rPr>
        <w:t> </w:t>
      </w:r>
      <w:r>
        <w:rPr>
          <w:sz w:val="20"/>
        </w:rPr>
        <w:t>menfaatler;</w:t>
      </w:r>
    </w:p>
    <w:p>
      <w:pPr>
        <w:pStyle w:val="BodyText"/>
        <w:spacing w:before="1"/>
        <w:rPr>
          <w:sz w:val="26"/>
        </w:rPr>
      </w:pPr>
    </w:p>
    <w:p>
      <w:pPr>
        <w:pStyle w:val="ListParagraph"/>
        <w:numPr>
          <w:ilvl w:val="0"/>
          <w:numId w:val="71"/>
        </w:numPr>
        <w:tabs>
          <w:tab w:pos="1015" w:val="left" w:leader="none"/>
        </w:tabs>
        <w:spacing w:line="240" w:lineRule="auto" w:before="1" w:after="0"/>
        <w:ind w:left="1014" w:right="0" w:hanging="288"/>
        <w:jc w:val="left"/>
        <w:rPr>
          <w:sz w:val="20"/>
        </w:rPr>
      </w:pPr>
      <w:r>
        <w:rPr>
          <w:sz w:val="20"/>
        </w:rPr>
        <w:t>kişisel verilerin</w:t>
      </w:r>
      <w:r>
        <w:rPr>
          <w:spacing w:val="-5"/>
          <w:sz w:val="20"/>
        </w:rPr>
        <w:t> </w:t>
      </w:r>
      <w:r>
        <w:rPr>
          <w:sz w:val="20"/>
        </w:rPr>
        <w:t>toplanması;</w:t>
      </w:r>
    </w:p>
    <w:p>
      <w:pPr>
        <w:pStyle w:val="BodyText"/>
        <w:spacing w:before="1"/>
        <w:rPr>
          <w:sz w:val="26"/>
        </w:rPr>
      </w:pPr>
    </w:p>
    <w:p>
      <w:pPr>
        <w:pStyle w:val="ListParagraph"/>
        <w:numPr>
          <w:ilvl w:val="0"/>
          <w:numId w:val="71"/>
        </w:numPr>
        <w:tabs>
          <w:tab w:pos="1027" w:val="left" w:leader="none"/>
        </w:tabs>
        <w:spacing w:line="240" w:lineRule="auto" w:before="1" w:after="0"/>
        <w:ind w:left="726" w:right="0" w:firstLine="0"/>
        <w:jc w:val="left"/>
        <w:rPr>
          <w:sz w:val="20"/>
        </w:rPr>
      </w:pPr>
      <w:r>
        <w:rPr>
          <w:sz w:val="20"/>
        </w:rPr>
        <w:t>kişisel verilerde takma ad</w:t>
      </w:r>
      <w:r>
        <w:rPr>
          <w:spacing w:val="-6"/>
          <w:sz w:val="20"/>
        </w:rPr>
        <w:t> </w:t>
      </w:r>
      <w:r>
        <w:rPr>
          <w:sz w:val="20"/>
        </w:rPr>
        <w:t>kullanımı;</w:t>
      </w:r>
    </w:p>
    <w:p>
      <w:pPr>
        <w:pStyle w:val="BodyText"/>
        <w:spacing w:before="3"/>
        <w:rPr>
          <w:sz w:val="26"/>
        </w:rPr>
      </w:pPr>
    </w:p>
    <w:p>
      <w:pPr>
        <w:pStyle w:val="ListParagraph"/>
        <w:numPr>
          <w:ilvl w:val="0"/>
          <w:numId w:val="71"/>
        </w:numPr>
        <w:tabs>
          <w:tab w:pos="1027" w:val="left" w:leader="none"/>
        </w:tabs>
        <w:spacing w:line="276" w:lineRule="auto" w:before="0" w:after="0"/>
        <w:ind w:left="726" w:right="5173" w:firstLine="0"/>
        <w:jc w:val="left"/>
        <w:rPr>
          <w:sz w:val="20"/>
        </w:rPr>
      </w:pPr>
      <w:r>
        <w:rPr>
          <w:sz w:val="20"/>
        </w:rPr>
        <w:t>kamuoyuna ve veri sahiplerine sağlanan bilgiler; (f) veri sahiplerinin haklarının</w:t>
      </w:r>
      <w:r>
        <w:rPr>
          <w:spacing w:val="-2"/>
          <w:sz w:val="20"/>
        </w:rPr>
        <w:t> </w:t>
      </w:r>
      <w:r>
        <w:rPr>
          <w:sz w:val="20"/>
        </w:rPr>
        <w:t>kullanımı;</w:t>
      </w:r>
    </w:p>
    <w:p>
      <w:pPr>
        <w:pStyle w:val="BodyText"/>
        <w:spacing w:before="6"/>
        <w:rPr>
          <w:sz w:val="23"/>
        </w:rPr>
      </w:pPr>
    </w:p>
    <w:p>
      <w:pPr>
        <w:pStyle w:val="ListParagraph"/>
        <w:numPr>
          <w:ilvl w:val="0"/>
          <w:numId w:val="72"/>
        </w:numPr>
        <w:tabs>
          <w:tab w:pos="1027" w:val="left" w:leader="none"/>
        </w:tabs>
        <w:spacing w:line="276" w:lineRule="auto" w:before="0" w:after="0"/>
        <w:ind w:left="1024" w:right="1231" w:hanging="298"/>
        <w:jc w:val="left"/>
        <w:rPr>
          <w:sz w:val="20"/>
        </w:rPr>
      </w:pPr>
      <w:r>
        <w:rPr>
          <w:sz w:val="20"/>
        </w:rPr>
        <w:t>çocuklara sağlanan bilgiler ve çocukların korunması ve çocuklar üzerinde velayet hakkına sahip olanların rızasının alınma</w:t>
      </w:r>
      <w:r>
        <w:rPr>
          <w:spacing w:val="-2"/>
          <w:sz w:val="20"/>
        </w:rPr>
        <w:t> </w:t>
      </w:r>
      <w:r>
        <w:rPr>
          <w:sz w:val="20"/>
        </w:rPr>
        <w:t>şekli;</w:t>
      </w:r>
    </w:p>
    <w:p>
      <w:pPr>
        <w:pStyle w:val="BodyText"/>
        <w:spacing w:before="8"/>
        <w:rPr>
          <w:sz w:val="23"/>
        </w:rPr>
      </w:pPr>
    </w:p>
    <w:p>
      <w:pPr>
        <w:pStyle w:val="ListParagraph"/>
        <w:numPr>
          <w:ilvl w:val="0"/>
          <w:numId w:val="72"/>
        </w:numPr>
        <w:tabs>
          <w:tab w:pos="1027" w:val="left" w:leader="none"/>
        </w:tabs>
        <w:spacing w:line="278" w:lineRule="auto" w:before="0" w:after="0"/>
        <w:ind w:left="1024" w:right="952" w:hanging="298"/>
        <w:jc w:val="left"/>
        <w:rPr>
          <w:sz w:val="20"/>
        </w:rPr>
      </w:pPr>
      <w:r>
        <w:rPr>
          <w:sz w:val="20"/>
        </w:rPr>
        <w:t>24 ve 25. maddelerde atıfta bulunulan tedbirler ve usuller ile 32. maddede atıfta bulunulduğu üzere işleme faaliyetinin güvenliğinin sağlanmasına yönelik</w:t>
      </w:r>
      <w:r>
        <w:rPr>
          <w:spacing w:val="-3"/>
          <w:sz w:val="20"/>
        </w:rPr>
        <w:t> </w:t>
      </w:r>
      <w:r>
        <w:rPr>
          <w:sz w:val="20"/>
        </w:rPr>
        <w:t>tedbirler.</w:t>
      </w:r>
    </w:p>
    <w:p>
      <w:pPr>
        <w:pStyle w:val="BodyText"/>
        <w:spacing w:before="7"/>
        <w:rPr>
          <w:sz w:val="23"/>
        </w:rPr>
      </w:pPr>
    </w:p>
    <w:p>
      <w:pPr>
        <w:pStyle w:val="ListParagraph"/>
        <w:numPr>
          <w:ilvl w:val="0"/>
          <w:numId w:val="72"/>
        </w:numPr>
        <w:tabs>
          <w:tab w:pos="960" w:val="left" w:leader="none"/>
        </w:tabs>
        <w:spacing w:line="276" w:lineRule="auto" w:before="0" w:after="0"/>
        <w:ind w:left="1024" w:right="1524" w:hanging="298"/>
        <w:jc w:val="left"/>
        <w:rPr>
          <w:sz w:val="20"/>
        </w:rPr>
      </w:pPr>
      <w:r>
        <w:rPr>
          <w:sz w:val="20"/>
        </w:rPr>
        <w:t>kişisel veri ihlallerinin denetim makamlarına bildirimi ve söz konusu kişisel veri ihlallerinin veri sahiplerine iletilmesi;</w:t>
      </w:r>
    </w:p>
    <w:p>
      <w:pPr>
        <w:pStyle w:val="BodyText"/>
        <w:spacing w:before="8"/>
        <w:rPr>
          <w:sz w:val="23"/>
        </w:rPr>
      </w:pPr>
    </w:p>
    <w:p>
      <w:pPr>
        <w:pStyle w:val="ListParagraph"/>
        <w:numPr>
          <w:ilvl w:val="0"/>
          <w:numId w:val="72"/>
        </w:numPr>
        <w:tabs>
          <w:tab w:pos="962" w:val="left" w:leader="none"/>
        </w:tabs>
        <w:spacing w:line="240" w:lineRule="auto" w:before="0" w:after="0"/>
        <w:ind w:left="961" w:right="0" w:hanging="235"/>
        <w:jc w:val="left"/>
        <w:rPr>
          <w:sz w:val="20"/>
        </w:rPr>
      </w:pPr>
      <w:r>
        <w:rPr>
          <w:sz w:val="20"/>
        </w:rPr>
        <w:t>üçüncü ülkelere veya uluslararası kuruluşlara kişisel veri aktarılması</w:t>
      </w:r>
      <w:r>
        <w:rPr>
          <w:spacing w:val="-8"/>
          <w:sz w:val="20"/>
        </w:rPr>
        <w:t> </w:t>
      </w:r>
      <w:r>
        <w:rPr>
          <w:sz w:val="20"/>
        </w:rPr>
        <w:t>veya</w:t>
      </w:r>
    </w:p>
    <w:p>
      <w:pPr>
        <w:pStyle w:val="BodyText"/>
        <w:spacing w:before="2"/>
        <w:rPr>
          <w:sz w:val="27"/>
        </w:rPr>
      </w:pPr>
    </w:p>
    <w:p>
      <w:pPr>
        <w:pStyle w:val="ListParagraph"/>
        <w:numPr>
          <w:ilvl w:val="0"/>
          <w:numId w:val="72"/>
        </w:numPr>
        <w:tabs>
          <w:tab w:pos="1017" w:val="left" w:leader="none"/>
        </w:tabs>
        <w:spacing w:line="278" w:lineRule="auto" w:before="0" w:after="0"/>
        <w:ind w:left="1024" w:right="1054" w:hanging="298"/>
        <w:jc w:val="left"/>
        <w:rPr>
          <w:sz w:val="20"/>
        </w:rPr>
      </w:pPr>
      <w:r>
        <w:rPr>
          <w:sz w:val="20"/>
        </w:rPr>
        <w:t>veri sahiplerinin 77. ve 79. maddeler uyarınca haklarına halel gelmeksizin, kontrolörler ve veri sahipleri</w:t>
      </w:r>
      <w:r>
        <w:rPr>
          <w:spacing w:val="-5"/>
          <w:sz w:val="20"/>
        </w:rPr>
        <w:t> </w:t>
      </w:r>
      <w:r>
        <w:rPr>
          <w:sz w:val="20"/>
        </w:rPr>
        <w:t>arasında</w:t>
      </w:r>
      <w:r>
        <w:rPr>
          <w:spacing w:val="-5"/>
          <w:sz w:val="20"/>
        </w:rPr>
        <w:t> </w:t>
      </w:r>
      <w:r>
        <w:rPr>
          <w:sz w:val="20"/>
        </w:rPr>
        <w:t>ihtilafların</w:t>
      </w:r>
      <w:r>
        <w:rPr>
          <w:spacing w:val="-6"/>
          <w:sz w:val="20"/>
        </w:rPr>
        <w:t> </w:t>
      </w:r>
      <w:r>
        <w:rPr>
          <w:sz w:val="20"/>
        </w:rPr>
        <w:t>çözümüyle</w:t>
      </w:r>
      <w:r>
        <w:rPr>
          <w:spacing w:val="-5"/>
          <w:sz w:val="20"/>
        </w:rPr>
        <w:t> </w:t>
      </w:r>
      <w:r>
        <w:rPr>
          <w:sz w:val="20"/>
        </w:rPr>
        <w:t>ilgili</w:t>
      </w:r>
      <w:r>
        <w:rPr>
          <w:spacing w:val="-7"/>
          <w:sz w:val="20"/>
        </w:rPr>
        <w:t> </w:t>
      </w:r>
      <w:r>
        <w:rPr>
          <w:sz w:val="20"/>
        </w:rPr>
        <w:t>mahkeme</w:t>
      </w:r>
      <w:r>
        <w:rPr>
          <w:spacing w:val="-9"/>
          <w:sz w:val="20"/>
        </w:rPr>
        <w:t> </w:t>
      </w:r>
      <w:r>
        <w:rPr>
          <w:sz w:val="20"/>
        </w:rPr>
        <w:t>dışı</w:t>
      </w:r>
      <w:r>
        <w:rPr>
          <w:spacing w:val="-6"/>
          <w:sz w:val="20"/>
        </w:rPr>
        <w:t> </w:t>
      </w:r>
      <w:r>
        <w:rPr>
          <w:sz w:val="20"/>
        </w:rPr>
        <w:t>işlemler</w:t>
      </w:r>
      <w:r>
        <w:rPr>
          <w:spacing w:val="-6"/>
          <w:sz w:val="20"/>
        </w:rPr>
        <w:t> </w:t>
      </w:r>
      <w:r>
        <w:rPr>
          <w:sz w:val="20"/>
        </w:rPr>
        <w:t>ve</w:t>
      </w:r>
      <w:r>
        <w:rPr>
          <w:spacing w:val="-6"/>
          <w:sz w:val="20"/>
        </w:rPr>
        <w:t> </w:t>
      </w:r>
      <w:r>
        <w:rPr>
          <w:sz w:val="20"/>
        </w:rPr>
        <w:t>diğer</w:t>
      </w:r>
      <w:r>
        <w:rPr>
          <w:spacing w:val="-6"/>
          <w:sz w:val="20"/>
        </w:rPr>
        <w:t> </w:t>
      </w:r>
      <w:r>
        <w:rPr>
          <w:sz w:val="20"/>
        </w:rPr>
        <w:t>ihtilaf</w:t>
      </w:r>
      <w:r>
        <w:rPr>
          <w:spacing w:val="-5"/>
          <w:sz w:val="20"/>
        </w:rPr>
        <w:t> </w:t>
      </w:r>
      <w:r>
        <w:rPr>
          <w:sz w:val="20"/>
        </w:rPr>
        <w:t>çözüm</w:t>
      </w:r>
      <w:r>
        <w:rPr>
          <w:spacing w:val="-3"/>
          <w:sz w:val="20"/>
        </w:rPr>
        <w:t> </w:t>
      </w:r>
      <w:r>
        <w:rPr>
          <w:sz w:val="20"/>
        </w:rPr>
        <w:t>usulleri.</w:t>
      </w:r>
    </w:p>
    <w:p>
      <w:pPr>
        <w:spacing w:after="0" w:line="278" w:lineRule="auto"/>
        <w:jc w:val="left"/>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70"/>
        </w:numPr>
        <w:tabs>
          <w:tab w:pos="989" w:val="left" w:leader="none"/>
        </w:tabs>
        <w:spacing w:line="276" w:lineRule="auto" w:before="66" w:after="0"/>
        <w:ind w:left="726" w:right="690" w:firstLine="0"/>
        <w:jc w:val="both"/>
        <w:rPr>
          <w:sz w:val="20"/>
        </w:rPr>
      </w:pPr>
      <w:r>
        <w:rPr>
          <w:sz w:val="20"/>
        </w:rPr>
        <w:t>Bu Tüzük’e tabi kontrolörler veya işleyicilerin uygun hareket etmesine ek olarak, bu maddenin 5. paragrafı uyarınca onaylanan davranış kuralları ve bu maddenin 9. paragrafı uyarınca genel geçerliliğe sahip olunması hususuna 3. madde uyarınca bu Tüzük’e tabi olmayan kontroller veya işleyiciler tarafından da 46(2) maddesinin (e) bendinde atıfta bulunulan koşullar uyarınca üçüncü ülkelere veya uluslararası kuruluşlara kişisel veri aktarımları çerçevesinde uygun güvenceler sağlanması amacı ile uyulabilir. Söz konusu kontrolörler veya işleyiciler, veri sahiplerinin hakları ile ilgili olanlar da dahil olmak üzere uygun güvenceleri uygulamak üzere sözleşmeye bağlı veya diğer bağlayıcı belgeler vasıtasıyla bağlayıcı ve uygulanabilir taahhütlerde</w:t>
      </w:r>
      <w:r>
        <w:rPr>
          <w:spacing w:val="-3"/>
          <w:sz w:val="20"/>
        </w:rPr>
        <w:t> </w:t>
      </w:r>
      <w:r>
        <w:rPr>
          <w:sz w:val="20"/>
        </w:rPr>
        <w:t>bulunur.</w:t>
      </w:r>
    </w:p>
    <w:p>
      <w:pPr>
        <w:pStyle w:val="BodyText"/>
        <w:rPr>
          <w:sz w:val="22"/>
        </w:rPr>
      </w:pPr>
    </w:p>
    <w:p>
      <w:pPr>
        <w:pStyle w:val="BodyText"/>
        <w:spacing w:before="5"/>
        <w:rPr>
          <w:sz w:val="24"/>
        </w:rPr>
      </w:pPr>
    </w:p>
    <w:p>
      <w:pPr>
        <w:pStyle w:val="ListParagraph"/>
        <w:numPr>
          <w:ilvl w:val="0"/>
          <w:numId w:val="70"/>
        </w:numPr>
        <w:tabs>
          <w:tab w:pos="951" w:val="left" w:leader="none"/>
        </w:tabs>
        <w:spacing w:line="276" w:lineRule="auto" w:before="1" w:after="0"/>
        <w:ind w:left="726" w:right="691" w:firstLine="0"/>
        <w:jc w:val="both"/>
        <w:rPr>
          <w:sz w:val="20"/>
        </w:rPr>
      </w:pPr>
      <w:r>
        <w:rPr>
          <w:sz w:val="20"/>
        </w:rPr>
        <w:t>Bu maddenin 2. paragrafında atıfta bulunulan davranış kurallarında 41(1) maddesinde atıfta bulunulan organın, 55 veya 56. madde uyarınca yetkin denetim makamlarının görevleri ve yetkilerine halel gelmeksizin, davranış kurallarını uygulamayı taahhüt eden kontrolörler veya işleyicilerin söz konusu hükümlere uyumluluğunu zorunlu olarak izlemesini sağlayan mekanizmalara yer</w:t>
      </w:r>
      <w:r>
        <w:rPr>
          <w:spacing w:val="-11"/>
          <w:sz w:val="20"/>
        </w:rPr>
        <w:t> </w:t>
      </w:r>
      <w:r>
        <w:rPr>
          <w:sz w:val="20"/>
        </w:rPr>
        <w:t>verilir.</w:t>
      </w:r>
    </w:p>
    <w:p>
      <w:pPr>
        <w:pStyle w:val="BodyText"/>
        <w:rPr>
          <w:sz w:val="22"/>
        </w:rPr>
      </w:pPr>
    </w:p>
    <w:p>
      <w:pPr>
        <w:pStyle w:val="BodyText"/>
        <w:spacing w:before="7"/>
        <w:rPr>
          <w:sz w:val="24"/>
        </w:rPr>
      </w:pPr>
    </w:p>
    <w:p>
      <w:pPr>
        <w:pStyle w:val="ListParagraph"/>
        <w:numPr>
          <w:ilvl w:val="0"/>
          <w:numId w:val="70"/>
        </w:numPr>
        <w:tabs>
          <w:tab w:pos="1140" w:val="left" w:leader="none"/>
        </w:tabs>
        <w:spacing w:line="276" w:lineRule="auto" w:before="0" w:after="0"/>
        <w:ind w:left="726" w:right="694" w:firstLine="0"/>
        <w:jc w:val="both"/>
        <w:rPr>
          <w:sz w:val="20"/>
        </w:rPr>
      </w:pPr>
      <w:r>
        <w:rPr>
          <w:sz w:val="20"/>
        </w:rPr>
        <w:t>Bu maddenin 2. paragrafında atıfta bulunulan ve davranış kuralları hazırlamayı veya mevcut kuralları değiştirmeyi veya mevcut kuralların kapsamını genişletmeyi amaçlayan birlikler ve diğer organlar kurallar, değişiklik veya kapsam genişletmeye ilişkin taslağı 55. madde uyarınca yetkin denetim makamına ibraz eder. Denetim makamı kurallar, değişiklik veya kapsam genişletmeye ilişkin taslağın bu Tüzük’le uyumlu olup olmadığı konusunda bir görüş sunar ve, yeteri kadar uygun güvenceleri sağladığını tespit etmesi durumunda, kurallar, değişiklik veya kapsam genişletmeye ilişkin söz konusu taslağı onaylar.</w:t>
      </w:r>
    </w:p>
    <w:p>
      <w:pPr>
        <w:pStyle w:val="BodyText"/>
        <w:spacing w:before="3"/>
        <w:rPr>
          <w:sz w:val="23"/>
        </w:rPr>
      </w:pPr>
    </w:p>
    <w:p>
      <w:pPr>
        <w:pStyle w:val="ListParagraph"/>
        <w:numPr>
          <w:ilvl w:val="0"/>
          <w:numId w:val="70"/>
        </w:numPr>
        <w:tabs>
          <w:tab w:pos="967" w:val="left" w:leader="none"/>
        </w:tabs>
        <w:spacing w:line="276" w:lineRule="auto" w:before="1" w:after="0"/>
        <w:ind w:left="726" w:right="687" w:firstLine="0"/>
        <w:jc w:val="both"/>
        <w:rPr>
          <w:sz w:val="20"/>
        </w:rPr>
      </w:pPr>
      <w:r>
        <w:rPr>
          <w:sz w:val="20"/>
        </w:rPr>
        <w:t>Kurallar veya değişiklik ya da kapsam genişletmeye ilişkin taslağın 5. paragraf uyarınca onaylandığı hallerde ve ilgili davranış kurallarının çeşitli üye devletlerdeki işleme faaliyetleri ile ilgili olmadığı hallerde, denetim makamı kuralları tescil eder ve</w:t>
      </w:r>
      <w:r>
        <w:rPr>
          <w:spacing w:val="-2"/>
          <w:sz w:val="20"/>
        </w:rPr>
        <w:t> </w:t>
      </w:r>
      <w:r>
        <w:rPr>
          <w:sz w:val="20"/>
        </w:rPr>
        <w:t>yayımlar.</w:t>
      </w:r>
    </w:p>
    <w:p>
      <w:pPr>
        <w:pStyle w:val="BodyText"/>
        <w:rPr>
          <w:sz w:val="23"/>
        </w:rPr>
      </w:pPr>
    </w:p>
    <w:p>
      <w:pPr>
        <w:pStyle w:val="ListParagraph"/>
        <w:numPr>
          <w:ilvl w:val="0"/>
          <w:numId w:val="70"/>
        </w:numPr>
        <w:tabs>
          <w:tab w:pos="1001" w:val="left" w:leader="none"/>
        </w:tabs>
        <w:spacing w:line="276" w:lineRule="auto" w:before="0" w:after="0"/>
        <w:ind w:left="726" w:right="694" w:firstLine="0"/>
        <w:jc w:val="both"/>
        <w:rPr>
          <w:sz w:val="20"/>
        </w:rPr>
      </w:pPr>
      <w:r>
        <w:rPr>
          <w:sz w:val="20"/>
        </w:rPr>
        <w:t>Davranış kurallarına ilişkin bir taslağın çeşitli üye devletlerdeki işleme faaliyetleri ile ilgili olduğu hallerde, 55. madde uyarınca yetkin olan denetim makamı, kurallar, değişiklik ya da kapsam genişletmeye ilişkin taslağı onaylamadan önce, kurallar, değişiklik veya kapsam genişletmeye ilişkin taslağın bu Tüzük’le uyumlu olup olmadığına veya, bu maddenin 3. paragrafında atıfta bulunulan durumda, uygun güvenceler sağlayıp sağlamadığına ilişkin bir görüş bildirecek söz konusu taslağı Kurul’a 63. maddede atıfta bulunulan usul çerçevesinde ibraz</w:t>
      </w:r>
      <w:r>
        <w:rPr>
          <w:spacing w:val="-5"/>
          <w:sz w:val="20"/>
        </w:rPr>
        <w:t> </w:t>
      </w:r>
      <w:r>
        <w:rPr>
          <w:sz w:val="20"/>
        </w:rPr>
        <w:t>eder.</w:t>
      </w:r>
    </w:p>
    <w:p>
      <w:pPr>
        <w:pStyle w:val="BodyText"/>
        <w:rPr>
          <w:sz w:val="22"/>
        </w:rPr>
      </w:pPr>
    </w:p>
    <w:p>
      <w:pPr>
        <w:pStyle w:val="BodyText"/>
        <w:spacing w:before="6"/>
        <w:rPr>
          <w:sz w:val="24"/>
        </w:rPr>
      </w:pPr>
    </w:p>
    <w:p>
      <w:pPr>
        <w:pStyle w:val="ListParagraph"/>
        <w:numPr>
          <w:ilvl w:val="0"/>
          <w:numId w:val="70"/>
        </w:numPr>
        <w:tabs>
          <w:tab w:pos="948" w:val="left" w:leader="none"/>
        </w:tabs>
        <w:spacing w:line="276" w:lineRule="auto" w:before="0" w:after="0"/>
        <w:ind w:left="726" w:right="696" w:firstLine="0"/>
        <w:jc w:val="both"/>
        <w:rPr>
          <w:sz w:val="20"/>
        </w:rPr>
      </w:pPr>
      <w:r>
        <w:rPr>
          <w:sz w:val="20"/>
        </w:rPr>
        <w:t>7. paragrafta atıfta bulunulan görüşün değişiklik veya kapsam genişletmeye ilişkin taslağın bu Tüzük’le uyumlu olduğu veya, 3. paragrafta atıfta bulunulan durumda, uygun güvenceler sağladığını teyit ettiği hallerde, Kurul görüşünü Komisyon’a</w:t>
      </w:r>
      <w:r>
        <w:rPr>
          <w:spacing w:val="-4"/>
          <w:sz w:val="20"/>
        </w:rPr>
        <w:t> </w:t>
      </w:r>
      <w:r>
        <w:rPr>
          <w:sz w:val="20"/>
        </w:rPr>
        <w:t>sunar.</w:t>
      </w:r>
    </w:p>
    <w:p>
      <w:pPr>
        <w:pStyle w:val="BodyText"/>
        <w:rPr>
          <w:sz w:val="22"/>
        </w:rPr>
      </w:pPr>
    </w:p>
    <w:p>
      <w:pPr>
        <w:pStyle w:val="BodyText"/>
        <w:spacing w:before="3"/>
        <w:rPr>
          <w:sz w:val="24"/>
        </w:rPr>
      </w:pPr>
    </w:p>
    <w:p>
      <w:pPr>
        <w:pStyle w:val="ListParagraph"/>
        <w:numPr>
          <w:ilvl w:val="0"/>
          <w:numId w:val="70"/>
        </w:numPr>
        <w:tabs>
          <w:tab w:pos="953" w:val="left" w:leader="none"/>
        </w:tabs>
        <w:spacing w:line="276" w:lineRule="auto" w:before="0" w:after="0"/>
        <w:ind w:left="726" w:right="697" w:firstLine="0"/>
        <w:jc w:val="both"/>
        <w:rPr>
          <w:sz w:val="20"/>
        </w:rPr>
      </w:pPr>
      <w:r>
        <w:rPr>
          <w:sz w:val="20"/>
        </w:rPr>
        <w:t>Komisyon, uygulama tasarrufları vasıtasıyla, bu maddenin 8. paragrafı uyarınca kendisine ibraz edilen onaylı davranış kuralları, değişiklik veya kapsam genişletmenin Birlik içerisinde genel geçerliliğe sahip olduğuna karar verebilir. Bu uygulama tasarrufları 93(2) maddesinde belirtilen inceleme usulü uyarınca kabul</w:t>
      </w:r>
      <w:r>
        <w:rPr>
          <w:spacing w:val="-3"/>
          <w:sz w:val="20"/>
        </w:rPr>
        <w:t> </w:t>
      </w:r>
      <w:r>
        <w:rPr>
          <w:sz w:val="20"/>
        </w:rPr>
        <w:t>edilir.</w:t>
      </w:r>
    </w:p>
    <w:p>
      <w:pPr>
        <w:pStyle w:val="BodyText"/>
        <w:spacing w:before="2"/>
        <w:rPr>
          <w:sz w:val="27"/>
        </w:rPr>
      </w:pPr>
    </w:p>
    <w:p>
      <w:pPr>
        <w:pStyle w:val="ListParagraph"/>
        <w:numPr>
          <w:ilvl w:val="0"/>
          <w:numId w:val="70"/>
        </w:numPr>
        <w:tabs>
          <w:tab w:pos="1066" w:val="left" w:leader="none"/>
        </w:tabs>
        <w:spacing w:line="278" w:lineRule="auto" w:before="0" w:after="0"/>
        <w:ind w:left="726" w:right="694" w:firstLine="0"/>
        <w:jc w:val="both"/>
        <w:rPr>
          <w:sz w:val="20"/>
        </w:rPr>
      </w:pPr>
      <w:r>
        <w:rPr>
          <w:sz w:val="20"/>
        </w:rPr>
        <w:t>Komisyon 9. paragraf uyarınca genel geçerliliğe sahip olduğuna karar verilen onaylı kuralların uygun şekilde ilan edilmesini</w:t>
      </w:r>
      <w:r>
        <w:rPr>
          <w:spacing w:val="-5"/>
          <w:sz w:val="20"/>
        </w:rPr>
        <w:t> </w:t>
      </w:r>
      <w:r>
        <w:rPr>
          <w:sz w:val="20"/>
        </w:rPr>
        <w:t>sağlar.</w:t>
      </w:r>
    </w:p>
    <w:p>
      <w:pPr>
        <w:pStyle w:val="BodyText"/>
        <w:rPr>
          <w:sz w:val="22"/>
        </w:rPr>
      </w:pPr>
    </w:p>
    <w:p>
      <w:pPr>
        <w:pStyle w:val="BodyText"/>
        <w:spacing w:before="3"/>
        <w:rPr>
          <w:sz w:val="24"/>
        </w:rPr>
      </w:pPr>
    </w:p>
    <w:p>
      <w:pPr>
        <w:pStyle w:val="ListParagraph"/>
        <w:numPr>
          <w:ilvl w:val="0"/>
          <w:numId w:val="70"/>
        </w:numPr>
        <w:tabs>
          <w:tab w:pos="1260" w:val="left" w:leader="none"/>
        </w:tabs>
        <w:spacing w:line="276" w:lineRule="auto" w:before="0" w:after="0"/>
        <w:ind w:left="726" w:right="700" w:firstLine="0"/>
        <w:jc w:val="both"/>
        <w:rPr>
          <w:sz w:val="20"/>
        </w:rPr>
      </w:pPr>
      <w:r>
        <w:rPr>
          <w:sz w:val="20"/>
        </w:rPr>
        <w:t>Kurul onaylı tüm davranış kuralları, değişiklikler ve kapsam genişletmelerini bir sicilde toplar ve uygun yollarla kamuoyuna</w:t>
      </w:r>
      <w:r>
        <w:rPr>
          <w:spacing w:val="0"/>
          <w:sz w:val="20"/>
        </w:rPr>
        <w:t> </w:t>
      </w:r>
      <w:r>
        <w:rPr>
          <w:sz w:val="20"/>
        </w:rPr>
        <w:t>açıklar.</w:t>
      </w:r>
    </w:p>
    <w:p>
      <w:pPr>
        <w:pStyle w:val="BodyText"/>
        <w:spacing w:before="10"/>
        <w:rPr>
          <w:sz w:val="22"/>
        </w:rPr>
      </w:pPr>
    </w:p>
    <w:p>
      <w:pPr>
        <w:pStyle w:val="BodyText"/>
        <w:spacing w:line="278" w:lineRule="auto"/>
        <w:ind w:left="5035" w:right="5053"/>
        <w:jc w:val="center"/>
      </w:pPr>
      <w:r>
        <w:rPr/>
        <w:t>Madde 41</w:t>
      </w:r>
    </w:p>
    <w:p>
      <w:pPr>
        <w:spacing w:after="0" w:line="278" w:lineRule="auto"/>
        <w:jc w:val="cente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Heading1"/>
        <w:spacing w:line="276" w:lineRule="auto" w:before="64"/>
        <w:ind w:left="4029" w:right="4046"/>
      </w:pPr>
      <w:r>
        <w:rPr/>
        <w:t>Onaylı davranış kurallarının izlenmesi</w:t>
      </w:r>
    </w:p>
    <w:p>
      <w:pPr>
        <w:pStyle w:val="BodyText"/>
        <w:rPr>
          <w:b/>
          <w:sz w:val="22"/>
        </w:rPr>
      </w:pPr>
    </w:p>
    <w:p>
      <w:pPr>
        <w:pStyle w:val="BodyText"/>
        <w:spacing w:before="3"/>
        <w:rPr>
          <w:b/>
          <w:sz w:val="25"/>
        </w:rPr>
      </w:pPr>
    </w:p>
    <w:p>
      <w:pPr>
        <w:pStyle w:val="ListParagraph"/>
        <w:numPr>
          <w:ilvl w:val="0"/>
          <w:numId w:val="73"/>
        </w:numPr>
        <w:tabs>
          <w:tab w:pos="1044" w:val="left" w:leader="none"/>
        </w:tabs>
        <w:spacing w:line="276" w:lineRule="auto" w:before="1" w:after="0"/>
        <w:ind w:left="726" w:right="696" w:firstLine="0"/>
        <w:jc w:val="both"/>
        <w:rPr>
          <w:sz w:val="20"/>
        </w:rPr>
      </w:pPr>
      <w:r>
        <w:rPr>
          <w:sz w:val="20"/>
        </w:rPr>
        <w:t>Yetkin denetim makamının 57 ve 58. maddeler kapsamındaki görevleri ve yetkilerine halel gelmeksizin, 40. madde uyarınca davranış kurallarına uyumluluk kuralların konusu ile ilgili uygun bir uzmanlık seviyesine sahip olan ve bu amaca yönelik olarak yetkin denetim makamı tarafından akredite edilen bir organ tarafından izlenebilir.</w:t>
      </w:r>
    </w:p>
    <w:p>
      <w:pPr>
        <w:pStyle w:val="BodyText"/>
        <w:rPr>
          <w:sz w:val="22"/>
        </w:rPr>
      </w:pPr>
    </w:p>
    <w:p>
      <w:pPr>
        <w:pStyle w:val="BodyText"/>
        <w:spacing w:before="4"/>
        <w:rPr>
          <w:sz w:val="24"/>
        </w:rPr>
      </w:pPr>
    </w:p>
    <w:p>
      <w:pPr>
        <w:pStyle w:val="ListParagraph"/>
        <w:numPr>
          <w:ilvl w:val="0"/>
          <w:numId w:val="73"/>
        </w:numPr>
        <w:tabs>
          <w:tab w:pos="1140" w:val="left" w:leader="none"/>
        </w:tabs>
        <w:spacing w:line="278" w:lineRule="auto" w:before="0" w:after="0"/>
        <w:ind w:left="726" w:right="700" w:firstLine="0"/>
        <w:jc w:val="both"/>
        <w:rPr>
          <w:sz w:val="20"/>
        </w:rPr>
      </w:pPr>
      <w:r>
        <w:rPr>
          <w:sz w:val="20"/>
        </w:rPr>
        <w:t>1. paragrafta atıfta bulunulan bir organ, aşağıdaki özellikleri taşıması halinde, davranış kurallarına uyumluluğun izlenmesi amacı ile akredite</w:t>
      </w:r>
      <w:r>
        <w:rPr>
          <w:spacing w:val="-6"/>
          <w:sz w:val="20"/>
        </w:rPr>
        <w:t> </w:t>
      </w:r>
      <w:r>
        <w:rPr>
          <w:sz w:val="20"/>
        </w:rPr>
        <w:t>edilebilir:</w:t>
      </w:r>
    </w:p>
    <w:p>
      <w:pPr>
        <w:pStyle w:val="BodyText"/>
        <w:spacing w:before="6"/>
        <w:rPr>
          <w:sz w:val="23"/>
        </w:rPr>
      </w:pPr>
    </w:p>
    <w:p>
      <w:pPr>
        <w:pStyle w:val="ListParagraph"/>
        <w:numPr>
          <w:ilvl w:val="0"/>
          <w:numId w:val="74"/>
        </w:numPr>
        <w:tabs>
          <w:tab w:pos="1082" w:val="left" w:leader="none"/>
        </w:tabs>
        <w:spacing w:line="276" w:lineRule="auto" w:before="1" w:after="0"/>
        <w:ind w:left="1022" w:right="700" w:hanging="296"/>
        <w:jc w:val="both"/>
        <w:rPr>
          <w:sz w:val="20"/>
        </w:rPr>
      </w:pPr>
      <w:r>
        <w:rPr>
          <w:sz w:val="20"/>
        </w:rPr>
        <w:t>kuralların konusuna ilişkin bağımsızlığı ve uzmanlığını yetkin denetim makamını tatmin edecek şekilde göstermiş</w:t>
      </w:r>
      <w:r>
        <w:rPr>
          <w:spacing w:val="-3"/>
          <w:sz w:val="20"/>
        </w:rPr>
        <w:t> </w:t>
      </w:r>
      <w:r>
        <w:rPr>
          <w:sz w:val="20"/>
        </w:rPr>
        <w:t>olması;</w:t>
      </w:r>
    </w:p>
    <w:p>
      <w:pPr>
        <w:pStyle w:val="BodyText"/>
        <w:spacing w:before="10"/>
        <w:rPr>
          <w:sz w:val="23"/>
        </w:rPr>
      </w:pPr>
    </w:p>
    <w:p>
      <w:pPr>
        <w:pStyle w:val="ListParagraph"/>
        <w:numPr>
          <w:ilvl w:val="0"/>
          <w:numId w:val="74"/>
        </w:numPr>
        <w:tabs>
          <w:tab w:pos="1051" w:val="left" w:leader="none"/>
        </w:tabs>
        <w:spacing w:line="276" w:lineRule="auto" w:before="0" w:after="0"/>
        <w:ind w:left="1022" w:right="702" w:hanging="296"/>
        <w:jc w:val="both"/>
        <w:rPr>
          <w:sz w:val="20"/>
        </w:rPr>
      </w:pPr>
      <w:r>
        <w:rPr>
          <w:sz w:val="20"/>
        </w:rPr>
        <w:t>ilgili kontrolörler ve işleyicilerin kuralları uygulamaya, bunların kuralların hükümlerine uyumluluğunu izlemeye ve uygulamasını düzenli olarak gözden geçirmeye uygunluğunu değerlendirmesini sağlayan usuller oluşturmuş</w:t>
      </w:r>
      <w:r>
        <w:rPr>
          <w:spacing w:val="-2"/>
          <w:sz w:val="20"/>
        </w:rPr>
        <w:t> </w:t>
      </w:r>
      <w:r>
        <w:rPr>
          <w:sz w:val="20"/>
        </w:rPr>
        <w:t>olması;</w:t>
      </w:r>
    </w:p>
    <w:p>
      <w:pPr>
        <w:pStyle w:val="BodyText"/>
        <w:spacing w:before="10"/>
        <w:rPr>
          <w:sz w:val="23"/>
        </w:rPr>
      </w:pPr>
    </w:p>
    <w:p>
      <w:pPr>
        <w:pStyle w:val="ListParagraph"/>
        <w:numPr>
          <w:ilvl w:val="0"/>
          <w:numId w:val="74"/>
        </w:numPr>
        <w:tabs>
          <w:tab w:pos="1055" w:val="left" w:leader="none"/>
        </w:tabs>
        <w:spacing w:line="276" w:lineRule="auto" w:before="0" w:after="0"/>
        <w:ind w:left="1022" w:right="694" w:hanging="296"/>
        <w:jc w:val="both"/>
        <w:rPr>
          <w:sz w:val="20"/>
        </w:rPr>
      </w:pPr>
      <w:r>
        <w:rPr>
          <w:sz w:val="20"/>
        </w:rPr>
        <w:t>kurallara veya kuralların bir kontrolör ya da işleyici tarafından uygulanmış olma veya uygulanma şekline ilişkin ihlallere yönelik şikayetlerin ele alınması hususunda usuller ve yapıları oluşturmuş olması ve bu usuller ile yapıları veri sahipleri ile kamuoyuna şeffaf hale getirmiş olması</w:t>
      </w:r>
      <w:r>
        <w:rPr>
          <w:spacing w:val="-20"/>
          <w:sz w:val="20"/>
        </w:rPr>
        <w:t> </w:t>
      </w:r>
      <w:r>
        <w:rPr>
          <w:sz w:val="20"/>
        </w:rPr>
        <w:t>ve</w:t>
      </w:r>
    </w:p>
    <w:p>
      <w:pPr>
        <w:pStyle w:val="BodyText"/>
        <w:spacing w:before="11"/>
        <w:rPr>
          <w:sz w:val="23"/>
        </w:rPr>
      </w:pPr>
    </w:p>
    <w:p>
      <w:pPr>
        <w:pStyle w:val="ListParagraph"/>
        <w:numPr>
          <w:ilvl w:val="0"/>
          <w:numId w:val="74"/>
        </w:numPr>
        <w:tabs>
          <w:tab w:pos="1029" w:val="left" w:leader="none"/>
        </w:tabs>
        <w:spacing w:line="276" w:lineRule="auto" w:before="0" w:after="0"/>
        <w:ind w:left="1022" w:right="702" w:hanging="296"/>
        <w:jc w:val="both"/>
        <w:rPr>
          <w:sz w:val="20"/>
        </w:rPr>
      </w:pPr>
      <w:r>
        <w:rPr>
          <w:sz w:val="20"/>
        </w:rPr>
        <w:t>görev ve vazifelerinin bir çıkar çatışmasına neden olmadığını yetkin denetim makamını tatmin edecek şekilde göstermiş</w:t>
      </w:r>
      <w:r>
        <w:rPr>
          <w:spacing w:val="-3"/>
          <w:sz w:val="20"/>
        </w:rPr>
        <w:t> </w:t>
      </w:r>
      <w:r>
        <w:rPr>
          <w:sz w:val="20"/>
        </w:rPr>
        <w:t>olması.</w:t>
      </w:r>
    </w:p>
    <w:p>
      <w:pPr>
        <w:pStyle w:val="BodyText"/>
        <w:spacing w:before="10"/>
        <w:rPr>
          <w:sz w:val="23"/>
        </w:rPr>
      </w:pPr>
    </w:p>
    <w:p>
      <w:pPr>
        <w:pStyle w:val="ListParagraph"/>
        <w:numPr>
          <w:ilvl w:val="0"/>
          <w:numId w:val="73"/>
        </w:numPr>
        <w:tabs>
          <w:tab w:pos="1140" w:val="left" w:leader="none"/>
        </w:tabs>
        <w:spacing w:line="276" w:lineRule="auto" w:before="0" w:after="0"/>
        <w:ind w:left="726" w:right="700" w:firstLine="0"/>
        <w:jc w:val="both"/>
        <w:rPr>
          <w:sz w:val="20"/>
        </w:rPr>
      </w:pPr>
      <w:r>
        <w:rPr>
          <w:sz w:val="20"/>
        </w:rPr>
        <w:t>Yetkin denetim makamı bu maddenin 1. paragrafında atıfta bulunulan bir organın akreditasyonuna ilişkin</w:t>
      </w:r>
      <w:r>
        <w:rPr>
          <w:spacing w:val="-4"/>
          <w:sz w:val="20"/>
        </w:rPr>
        <w:t> </w:t>
      </w:r>
      <w:r>
        <w:rPr>
          <w:sz w:val="20"/>
        </w:rPr>
        <w:t>taslak</w:t>
      </w:r>
      <w:r>
        <w:rPr>
          <w:spacing w:val="-4"/>
          <w:sz w:val="20"/>
        </w:rPr>
        <w:t> </w:t>
      </w:r>
      <w:r>
        <w:rPr>
          <w:sz w:val="20"/>
        </w:rPr>
        <w:t>kriterleri</w:t>
      </w:r>
      <w:r>
        <w:rPr>
          <w:spacing w:val="-3"/>
          <w:sz w:val="20"/>
        </w:rPr>
        <w:t> </w:t>
      </w:r>
      <w:r>
        <w:rPr>
          <w:sz w:val="20"/>
        </w:rPr>
        <w:t>63.</w:t>
      </w:r>
      <w:r>
        <w:rPr>
          <w:spacing w:val="-4"/>
          <w:sz w:val="20"/>
        </w:rPr>
        <w:t> </w:t>
      </w:r>
      <w:r>
        <w:rPr>
          <w:sz w:val="20"/>
        </w:rPr>
        <w:t>maddede</w:t>
      </w:r>
      <w:r>
        <w:rPr>
          <w:spacing w:val="-4"/>
          <w:sz w:val="20"/>
        </w:rPr>
        <w:t> </w:t>
      </w:r>
      <w:r>
        <w:rPr>
          <w:sz w:val="20"/>
        </w:rPr>
        <w:t>atıfta</w:t>
      </w:r>
      <w:r>
        <w:rPr>
          <w:spacing w:val="-4"/>
          <w:sz w:val="20"/>
        </w:rPr>
        <w:t> </w:t>
      </w:r>
      <w:r>
        <w:rPr>
          <w:sz w:val="20"/>
        </w:rPr>
        <w:t>bulunulan</w:t>
      </w:r>
      <w:r>
        <w:rPr>
          <w:spacing w:val="-4"/>
          <w:sz w:val="20"/>
        </w:rPr>
        <w:t> </w:t>
      </w:r>
      <w:r>
        <w:rPr>
          <w:sz w:val="20"/>
        </w:rPr>
        <w:t>tutarlık</w:t>
      </w:r>
      <w:r>
        <w:rPr>
          <w:spacing w:val="-4"/>
          <w:sz w:val="20"/>
        </w:rPr>
        <w:t> </w:t>
      </w:r>
      <w:r>
        <w:rPr>
          <w:sz w:val="20"/>
        </w:rPr>
        <w:t>mekanizması</w:t>
      </w:r>
      <w:r>
        <w:rPr>
          <w:spacing w:val="-4"/>
          <w:sz w:val="20"/>
        </w:rPr>
        <w:t> </w:t>
      </w:r>
      <w:r>
        <w:rPr>
          <w:sz w:val="20"/>
        </w:rPr>
        <w:t>uyarınca</w:t>
      </w:r>
      <w:r>
        <w:rPr>
          <w:spacing w:val="-3"/>
          <w:sz w:val="20"/>
        </w:rPr>
        <w:t> </w:t>
      </w:r>
      <w:r>
        <w:rPr>
          <w:sz w:val="20"/>
        </w:rPr>
        <w:t>Kurul’a</w:t>
      </w:r>
      <w:r>
        <w:rPr>
          <w:spacing w:val="-4"/>
          <w:sz w:val="20"/>
        </w:rPr>
        <w:t> </w:t>
      </w:r>
      <w:r>
        <w:rPr>
          <w:sz w:val="20"/>
        </w:rPr>
        <w:t>ibraz</w:t>
      </w:r>
      <w:r>
        <w:rPr>
          <w:spacing w:val="-5"/>
          <w:sz w:val="20"/>
        </w:rPr>
        <w:t> </w:t>
      </w:r>
      <w:r>
        <w:rPr>
          <w:sz w:val="20"/>
        </w:rPr>
        <w:t>eder.</w:t>
      </w:r>
    </w:p>
    <w:p>
      <w:pPr>
        <w:pStyle w:val="BodyText"/>
        <w:rPr>
          <w:sz w:val="22"/>
        </w:rPr>
      </w:pPr>
    </w:p>
    <w:p>
      <w:pPr>
        <w:pStyle w:val="BodyText"/>
        <w:spacing w:before="3"/>
        <w:rPr>
          <w:sz w:val="24"/>
        </w:rPr>
      </w:pPr>
    </w:p>
    <w:p>
      <w:pPr>
        <w:pStyle w:val="ListParagraph"/>
        <w:numPr>
          <w:ilvl w:val="0"/>
          <w:numId w:val="73"/>
        </w:numPr>
        <w:tabs>
          <w:tab w:pos="963" w:val="left" w:leader="none"/>
        </w:tabs>
        <w:spacing w:line="276" w:lineRule="auto" w:before="0" w:after="0"/>
        <w:ind w:left="726" w:right="692" w:firstLine="0"/>
        <w:jc w:val="both"/>
        <w:rPr>
          <w:sz w:val="20"/>
        </w:rPr>
      </w:pPr>
      <w:r>
        <w:rPr>
          <w:sz w:val="20"/>
        </w:rPr>
        <w:t>Yetkin denetim makamının görevleri ve yetkilerine ve Bölüm VIII’in hükümlerine halel gelmeksizin, bu maddenin 1. paragrafında atıfta bulunulan bir organ, kuralların bir kontrolör veya işleyici tarafından ihlali halinde, uygun güvencelere tabi olarak, ilgili kontrolör veya işleyicinin kurallardan askıya alınması veya çıkarılması da dahil olmak üzere uygun işlemleri gerçekleştirir. Söz konusu organ böylesi işlemler ve bu işlemlerin gerçekleştirilme sebepleri hususunda yetkin denetim makamını</w:t>
      </w:r>
      <w:r>
        <w:rPr>
          <w:spacing w:val="-14"/>
          <w:sz w:val="20"/>
        </w:rPr>
        <w:t> </w:t>
      </w:r>
      <w:r>
        <w:rPr>
          <w:sz w:val="20"/>
        </w:rPr>
        <w:t>bilgilendirir.</w:t>
      </w:r>
    </w:p>
    <w:p>
      <w:pPr>
        <w:pStyle w:val="BodyText"/>
        <w:rPr>
          <w:sz w:val="22"/>
        </w:rPr>
      </w:pPr>
    </w:p>
    <w:p>
      <w:pPr>
        <w:pStyle w:val="BodyText"/>
        <w:spacing w:before="7"/>
        <w:rPr>
          <w:sz w:val="24"/>
        </w:rPr>
      </w:pPr>
    </w:p>
    <w:p>
      <w:pPr>
        <w:pStyle w:val="ListParagraph"/>
        <w:numPr>
          <w:ilvl w:val="0"/>
          <w:numId w:val="73"/>
        </w:numPr>
        <w:tabs>
          <w:tab w:pos="994" w:val="left" w:leader="none"/>
        </w:tabs>
        <w:spacing w:line="276" w:lineRule="auto" w:before="0" w:after="0"/>
        <w:ind w:left="726" w:right="699" w:firstLine="0"/>
        <w:jc w:val="both"/>
        <w:rPr>
          <w:sz w:val="20"/>
        </w:rPr>
      </w:pPr>
      <w:r>
        <w:rPr>
          <w:sz w:val="20"/>
        </w:rPr>
        <w:t>Akreditasyon koşullarının yerine getirilmemesi veya artık yerine getirilmemesi halinde veya organ tarafından gerçekleştirilen eylemlerin bu Tüzük’ü ihlal ettiği hallerde, yetkin denetim makamı 1. paragrafta atıfta bulunulan bir organın akreditasyonunu</w:t>
      </w:r>
      <w:r>
        <w:rPr>
          <w:spacing w:val="-6"/>
          <w:sz w:val="20"/>
        </w:rPr>
        <w:t> </w:t>
      </w:r>
      <w:r>
        <w:rPr>
          <w:sz w:val="20"/>
        </w:rPr>
        <w:t>kaldırır.</w:t>
      </w:r>
    </w:p>
    <w:p>
      <w:pPr>
        <w:pStyle w:val="BodyText"/>
        <w:spacing w:before="3"/>
        <w:rPr>
          <w:sz w:val="23"/>
        </w:rPr>
      </w:pPr>
    </w:p>
    <w:p>
      <w:pPr>
        <w:pStyle w:val="ListParagraph"/>
        <w:numPr>
          <w:ilvl w:val="0"/>
          <w:numId w:val="73"/>
        </w:numPr>
        <w:tabs>
          <w:tab w:pos="948" w:val="left" w:leader="none"/>
        </w:tabs>
        <w:spacing w:line="240" w:lineRule="auto" w:before="0" w:after="0"/>
        <w:ind w:left="947" w:right="0" w:hanging="221"/>
        <w:jc w:val="both"/>
        <w:rPr>
          <w:sz w:val="20"/>
        </w:rPr>
      </w:pPr>
      <w:r>
        <w:rPr>
          <w:sz w:val="20"/>
        </w:rPr>
        <w:t>Bu madde kamu kuruluşları ve organları tarafından gerçekleştirilen işleme faaliyetlerine</w:t>
      </w:r>
      <w:r>
        <w:rPr>
          <w:spacing w:val="-30"/>
          <w:sz w:val="20"/>
        </w:rPr>
        <w:t> </w:t>
      </w:r>
      <w:r>
        <w:rPr>
          <w:sz w:val="20"/>
        </w:rPr>
        <w:t>uygulanmaz.</w:t>
      </w:r>
    </w:p>
    <w:p>
      <w:pPr>
        <w:pStyle w:val="BodyText"/>
        <w:spacing w:before="10"/>
        <w:rPr>
          <w:sz w:val="25"/>
        </w:rPr>
      </w:pPr>
    </w:p>
    <w:p>
      <w:pPr>
        <w:pStyle w:val="BodyText"/>
        <w:spacing w:line="278" w:lineRule="auto"/>
        <w:ind w:left="5035" w:right="5053"/>
        <w:jc w:val="center"/>
      </w:pPr>
      <w:r>
        <w:rPr/>
        <w:t>Madde 42</w:t>
      </w:r>
    </w:p>
    <w:p>
      <w:pPr>
        <w:pStyle w:val="BodyText"/>
        <w:spacing w:before="6"/>
        <w:rPr>
          <w:sz w:val="22"/>
        </w:rPr>
      </w:pPr>
    </w:p>
    <w:p>
      <w:pPr>
        <w:pStyle w:val="Heading1"/>
        <w:ind w:left="4800" w:right="0"/>
        <w:jc w:val="left"/>
      </w:pPr>
      <w:r>
        <w:rPr/>
        <w:t>Belgelendirme</w:t>
      </w:r>
    </w:p>
    <w:p>
      <w:pPr>
        <w:pStyle w:val="BodyText"/>
        <w:spacing w:before="2"/>
        <w:rPr>
          <w:b/>
          <w:sz w:val="27"/>
        </w:rPr>
      </w:pPr>
    </w:p>
    <w:p>
      <w:pPr>
        <w:pStyle w:val="ListParagraph"/>
        <w:numPr>
          <w:ilvl w:val="0"/>
          <w:numId w:val="75"/>
        </w:numPr>
        <w:tabs>
          <w:tab w:pos="1140" w:val="left" w:leader="none"/>
        </w:tabs>
        <w:spacing w:line="276" w:lineRule="auto" w:before="0" w:after="0"/>
        <w:ind w:left="726" w:right="698" w:firstLine="0"/>
        <w:jc w:val="both"/>
        <w:rPr>
          <w:sz w:val="20"/>
        </w:rPr>
      </w:pPr>
      <w:r>
        <w:rPr>
          <w:sz w:val="20"/>
        </w:rPr>
        <w:t>Üye devletler, denetim makamları, Kurul ve Komisyon, kontrolörler ve işleyiciler tarafından gerçekleştirilen işleme faaliyetlerinin bu Tüzük’le uyumluluğunun gösterilmesi amacıyla, özellikle Birlik düzeyinde, veri koruma belgelendirme mekanizmaları ve veri koruma mühürleri ve işaretlerinin oluşturulmasını teşvik eder. Mikro, küçük ve orta ölçekli işletmelerin spesifik ihtiyaçları dikkate</w:t>
      </w:r>
      <w:r>
        <w:rPr>
          <w:spacing w:val="-37"/>
          <w:sz w:val="20"/>
        </w:rPr>
        <w:t> </w:t>
      </w:r>
      <w:r>
        <w:rPr>
          <w:sz w:val="20"/>
        </w:rPr>
        <w:t>alınır.</w:t>
      </w:r>
    </w:p>
    <w:p>
      <w:pPr>
        <w:pStyle w:val="BodyText"/>
        <w:spacing w:before="2"/>
        <w:rPr>
          <w:sz w:val="27"/>
        </w:rPr>
      </w:pPr>
    </w:p>
    <w:p>
      <w:pPr>
        <w:pStyle w:val="ListParagraph"/>
        <w:numPr>
          <w:ilvl w:val="0"/>
          <w:numId w:val="75"/>
        </w:numPr>
        <w:tabs>
          <w:tab w:pos="1373" w:val="left" w:leader="none"/>
        </w:tabs>
        <w:spacing w:line="276" w:lineRule="auto" w:before="0" w:after="0"/>
        <w:ind w:left="1372" w:right="702" w:hanging="646"/>
        <w:jc w:val="both"/>
        <w:rPr>
          <w:sz w:val="20"/>
        </w:rPr>
      </w:pPr>
      <w:r>
        <w:rPr>
          <w:sz w:val="20"/>
        </w:rPr>
        <w:t>Bu Tüzük’e tabi kontrolörler veya işleyicilerin uygun hareket etmesine ek olarak, bu maddenin 5. paragrafı uyarınca onaylanan veri koruma belgelendirme mekanizmaları, mühürler ya da işaretler 46(2)</w:t>
      </w:r>
    </w:p>
    <w:p>
      <w:pPr>
        <w:spacing w:after="0" w:line="276" w:lineRule="auto"/>
        <w:jc w:val="both"/>
        <w:rPr>
          <w:sz w:val="20"/>
        </w:rPr>
        <w:sectPr>
          <w:pgSz w:w="11930" w:h="16850"/>
          <w:pgMar w:header="961" w:footer="0" w:top="1240" w:bottom="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line="276" w:lineRule="auto" w:before="114"/>
        <w:ind w:left="726" w:right="692"/>
        <w:jc w:val="both"/>
      </w:pPr>
      <w:r>
        <w:rPr/>
        <w:t>maddesinin (f) bendinde atıfta bulunulan koşullar uyarınca üçüncü ülkelere veya uluslararası kuruluşlara kişisel veri aktarımları çerçevesinde 3. madde uyarınca bu Tüzük’e tabi olmayan kontroller veya işleyiciler tarafından sağlanan uygun güvencelerin var olduğunun gösterilmesi amacıyla oluşturulabilir. Söz konusu kontrolörler veya işleyiciler, veri sahiplerinin hakları ile ilgili olanlar da dahil olmak üzere uygun güvenceleri uygulamak üzere sözleşmeye bağlı veya diğer bağlayıcı belgeler vasıtasıyla bağlayıcı ve uygulanabilir taahhütlerde</w:t>
      </w:r>
      <w:r>
        <w:rPr>
          <w:spacing w:val="1"/>
        </w:rPr>
        <w:t> </w:t>
      </w:r>
      <w:r>
        <w:rPr/>
        <w:t>bulunur.</w:t>
      </w:r>
    </w:p>
    <w:p>
      <w:pPr>
        <w:pStyle w:val="BodyText"/>
        <w:spacing w:before="2"/>
        <w:rPr>
          <w:sz w:val="23"/>
        </w:rPr>
      </w:pPr>
    </w:p>
    <w:p>
      <w:pPr>
        <w:pStyle w:val="ListParagraph"/>
        <w:numPr>
          <w:ilvl w:val="0"/>
          <w:numId w:val="75"/>
        </w:numPr>
        <w:tabs>
          <w:tab w:pos="948" w:val="left" w:leader="none"/>
        </w:tabs>
        <w:spacing w:line="240" w:lineRule="auto" w:before="0" w:after="0"/>
        <w:ind w:left="947" w:right="0" w:hanging="221"/>
        <w:jc w:val="both"/>
        <w:rPr>
          <w:sz w:val="20"/>
        </w:rPr>
      </w:pPr>
      <w:r>
        <w:rPr>
          <w:sz w:val="20"/>
        </w:rPr>
        <w:t>Belgelendirme gönüllülük esasına dayanır ve şeffaf bir süreç vasıtasıyla</w:t>
      </w:r>
      <w:r>
        <w:rPr>
          <w:spacing w:val="-8"/>
          <w:sz w:val="20"/>
        </w:rPr>
        <w:t> </w:t>
      </w:r>
      <w:r>
        <w:rPr>
          <w:sz w:val="20"/>
        </w:rPr>
        <w:t>sağlanır.</w:t>
      </w:r>
    </w:p>
    <w:p>
      <w:pPr>
        <w:pStyle w:val="BodyText"/>
        <w:spacing w:before="10"/>
        <w:rPr>
          <w:sz w:val="25"/>
        </w:rPr>
      </w:pPr>
    </w:p>
    <w:p>
      <w:pPr>
        <w:pStyle w:val="ListParagraph"/>
        <w:numPr>
          <w:ilvl w:val="0"/>
          <w:numId w:val="75"/>
        </w:numPr>
        <w:tabs>
          <w:tab w:pos="1140" w:val="left" w:leader="none"/>
        </w:tabs>
        <w:spacing w:line="276" w:lineRule="auto" w:before="1" w:after="0"/>
        <w:ind w:left="726" w:right="694" w:firstLine="0"/>
        <w:jc w:val="both"/>
        <w:rPr>
          <w:sz w:val="20"/>
        </w:rPr>
      </w:pPr>
      <w:r>
        <w:rPr>
          <w:sz w:val="20"/>
        </w:rPr>
        <w:t>Bu madde uyarınca sağlanan bir belgelendirme kontrolör ya da işleyicinin bu Tüzük’e uyma sorumluluğunu azaltmaz ve bu belgelendirme ile 55 veya 56. madde uyarınca yetkin olan denetim makamlarının görevleri ve yetkilerine halel</w:t>
      </w:r>
      <w:r>
        <w:rPr>
          <w:spacing w:val="-5"/>
          <w:sz w:val="20"/>
        </w:rPr>
        <w:t> </w:t>
      </w:r>
      <w:r>
        <w:rPr>
          <w:sz w:val="20"/>
        </w:rPr>
        <w:t>gelmez.</w:t>
      </w:r>
    </w:p>
    <w:p>
      <w:pPr>
        <w:pStyle w:val="BodyText"/>
        <w:spacing w:before="3"/>
        <w:rPr>
          <w:sz w:val="23"/>
        </w:rPr>
      </w:pPr>
    </w:p>
    <w:p>
      <w:pPr>
        <w:pStyle w:val="ListParagraph"/>
        <w:numPr>
          <w:ilvl w:val="0"/>
          <w:numId w:val="75"/>
        </w:numPr>
        <w:tabs>
          <w:tab w:pos="953" w:val="left" w:leader="none"/>
        </w:tabs>
        <w:spacing w:line="276" w:lineRule="auto" w:before="0" w:after="0"/>
        <w:ind w:left="726" w:right="694" w:firstLine="0"/>
        <w:jc w:val="both"/>
        <w:rPr>
          <w:sz w:val="20"/>
        </w:rPr>
      </w:pPr>
      <w:r>
        <w:rPr>
          <w:sz w:val="20"/>
        </w:rPr>
        <w:t>Bu madde uyarınca sağlanan bir belgelendirme 43. maddede atıfta bulunulan belgelendirme organları veya</w:t>
      </w:r>
      <w:r>
        <w:rPr>
          <w:spacing w:val="15"/>
          <w:sz w:val="20"/>
        </w:rPr>
        <w:t> </w:t>
      </w:r>
      <w:r>
        <w:rPr>
          <w:sz w:val="20"/>
        </w:rPr>
        <w:t>yetkin denetim makamı tarafından 58(3) madde uyarınca söz konusu yetkin denetim makamı veya</w:t>
      </w:r>
    </w:p>
    <w:p>
      <w:pPr>
        <w:pStyle w:val="BodyText"/>
        <w:spacing w:line="278" w:lineRule="auto"/>
        <w:ind w:left="726" w:right="696"/>
        <w:jc w:val="both"/>
      </w:pPr>
      <w:r>
        <w:rPr/>
        <w:t>63. madde uyarınca Kurul tarafından onaylanan kriterlere dayalı olarak sağlanır. Kriterlerin Kurul tarafından onaylandığı hallerde, ortak bir belgelendirme olan Avrupa Veri Koruma Mührü verilebilir.</w:t>
      </w:r>
    </w:p>
    <w:p>
      <w:pPr>
        <w:pStyle w:val="BodyText"/>
        <w:spacing w:before="9"/>
        <w:rPr>
          <w:sz w:val="22"/>
        </w:rPr>
      </w:pPr>
    </w:p>
    <w:p>
      <w:pPr>
        <w:pStyle w:val="ListParagraph"/>
        <w:numPr>
          <w:ilvl w:val="0"/>
          <w:numId w:val="76"/>
        </w:numPr>
        <w:tabs>
          <w:tab w:pos="1030" w:val="left" w:leader="none"/>
        </w:tabs>
        <w:spacing w:line="276" w:lineRule="auto" w:before="0" w:after="0"/>
        <w:ind w:left="726" w:right="698" w:firstLine="0"/>
        <w:jc w:val="both"/>
        <w:rPr>
          <w:sz w:val="20"/>
        </w:rPr>
      </w:pPr>
      <w:r>
        <w:rPr>
          <w:sz w:val="20"/>
        </w:rPr>
        <w:t>İşleme faaliyetlerini belgelendirme mekanizmasına sunan kontrolör veya işleyici belgelendirme usulünün gerçekleştirilmesi için gereken tüm bilgiler ve işleme faaliyetlerine erişimi 43. maddede atıfta bulunulan belgelendirme organına veya, uygun olduğu hallerde, yetkin denetim makamına</w:t>
      </w:r>
      <w:r>
        <w:rPr>
          <w:spacing w:val="-22"/>
          <w:sz w:val="20"/>
        </w:rPr>
        <w:t> </w:t>
      </w:r>
      <w:r>
        <w:rPr>
          <w:sz w:val="20"/>
        </w:rPr>
        <w:t>sağlar.</w:t>
      </w:r>
    </w:p>
    <w:p>
      <w:pPr>
        <w:pStyle w:val="BodyText"/>
        <w:spacing w:before="3"/>
        <w:rPr>
          <w:sz w:val="23"/>
        </w:rPr>
      </w:pPr>
    </w:p>
    <w:p>
      <w:pPr>
        <w:pStyle w:val="ListParagraph"/>
        <w:numPr>
          <w:ilvl w:val="0"/>
          <w:numId w:val="76"/>
        </w:numPr>
        <w:tabs>
          <w:tab w:pos="965" w:val="left" w:leader="none"/>
        </w:tabs>
        <w:spacing w:line="276" w:lineRule="auto" w:before="0" w:after="0"/>
        <w:ind w:left="726" w:right="698" w:firstLine="0"/>
        <w:jc w:val="both"/>
        <w:rPr>
          <w:sz w:val="20"/>
        </w:rPr>
      </w:pPr>
      <w:r>
        <w:rPr>
          <w:sz w:val="20"/>
        </w:rPr>
        <w:t>Belgelendirme bir kontrolör veya işleyiciye azami üç yıllık bir süre için sağlanır ve, ilgili gerekliliklerin yerine getirilmesine devam edilmesi koşuluyla, aynı koşullar altında, yenilenebilir. Belgelendirme gerekliliklerinin yerine getirilmediği veya artık yerine getirilmediği hallerde, belgelendirme, uygun olduğu hallerde, 43. maddede atıfta bulunulan belgelendirme organları veya yetkin denetim makamı tarafından geri</w:t>
      </w:r>
      <w:r>
        <w:rPr>
          <w:spacing w:val="-3"/>
          <w:sz w:val="20"/>
        </w:rPr>
        <w:t> </w:t>
      </w:r>
      <w:r>
        <w:rPr>
          <w:sz w:val="20"/>
        </w:rPr>
        <w:t>çekilebilir.</w:t>
      </w:r>
    </w:p>
    <w:p>
      <w:pPr>
        <w:pStyle w:val="BodyText"/>
        <w:spacing w:before="3"/>
        <w:rPr>
          <w:sz w:val="23"/>
        </w:rPr>
      </w:pPr>
    </w:p>
    <w:p>
      <w:pPr>
        <w:pStyle w:val="ListParagraph"/>
        <w:numPr>
          <w:ilvl w:val="0"/>
          <w:numId w:val="76"/>
        </w:numPr>
        <w:tabs>
          <w:tab w:pos="972" w:val="left" w:leader="none"/>
        </w:tabs>
        <w:spacing w:line="276" w:lineRule="auto" w:before="0" w:after="0"/>
        <w:ind w:left="726" w:right="699" w:firstLine="0"/>
        <w:jc w:val="both"/>
        <w:rPr>
          <w:sz w:val="20"/>
        </w:rPr>
      </w:pPr>
      <w:r>
        <w:rPr>
          <w:sz w:val="20"/>
        </w:rPr>
        <w:t>Kurul tüm belgelendirme mekanizmaları ve veri koruma mühürleri ile işaretlerini bir sicilde toplar ve uygun yollarla kamuoyuna</w:t>
      </w:r>
      <w:r>
        <w:rPr>
          <w:spacing w:val="0"/>
          <w:sz w:val="20"/>
        </w:rPr>
        <w:t> </w:t>
      </w:r>
      <w:r>
        <w:rPr>
          <w:sz w:val="20"/>
        </w:rPr>
        <w:t>açıklar.</w:t>
      </w:r>
    </w:p>
    <w:p>
      <w:pPr>
        <w:pStyle w:val="BodyText"/>
        <w:spacing w:before="10"/>
        <w:rPr>
          <w:sz w:val="23"/>
        </w:rPr>
      </w:pPr>
    </w:p>
    <w:p>
      <w:pPr>
        <w:pStyle w:val="BodyText"/>
        <w:spacing w:line="276" w:lineRule="auto"/>
        <w:ind w:left="5035" w:right="5053"/>
        <w:jc w:val="center"/>
      </w:pPr>
      <w:r>
        <w:rPr/>
        <w:t>Madde 43</w:t>
      </w:r>
    </w:p>
    <w:p>
      <w:pPr>
        <w:pStyle w:val="BodyText"/>
        <w:spacing w:before="2"/>
        <w:rPr>
          <w:sz w:val="24"/>
        </w:rPr>
      </w:pPr>
    </w:p>
    <w:p>
      <w:pPr>
        <w:pStyle w:val="Heading1"/>
        <w:spacing w:line="276" w:lineRule="auto"/>
        <w:ind w:left="4669" w:right="4690"/>
      </w:pPr>
      <w:r>
        <w:rPr>
          <w:w w:val="95"/>
        </w:rPr>
        <w:t>Belgelendirme </w:t>
      </w:r>
      <w:r>
        <w:rPr/>
        <w:t>organları</w:t>
      </w:r>
    </w:p>
    <w:p>
      <w:pPr>
        <w:pStyle w:val="BodyText"/>
        <w:spacing w:before="11"/>
        <w:rPr>
          <w:b/>
          <w:sz w:val="23"/>
        </w:rPr>
      </w:pPr>
    </w:p>
    <w:p>
      <w:pPr>
        <w:pStyle w:val="ListParagraph"/>
        <w:numPr>
          <w:ilvl w:val="0"/>
          <w:numId w:val="77"/>
        </w:numPr>
        <w:tabs>
          <w:tab w:pos="1044" w:val="left" w:leader="none"/>
        </w:tabs>
        <w:spacing w:line="276" w:lineRule="auto" w:before="0" w:after="0"/>
        <w:ind w:left="726" w:right="691" w:firstLine="0"/>
        <w:jc w:val="both"/>
        <w:rPr>
          <w:sz w:val="20"/>
        </w:rPr>
      </w:pPr>
      <w:r>
        <w:rPr>
          <w:sz w:val="20"/>
        </w:rPr>
        <w:t>Yetkin denetim makamının 57 ve 58. maddeler kapsamındaki görevleri ve yetkilerine halel gelmeksizin, veri koruma ile ilgili uygun bir uzmanlık seviyesine sahip olan belgelendirme organları, gerekmesi halinde 58(2) maddesinin (h) bendi uyarınca yetkilerinin kullanılmasını sağlamak üzere denetim makamını bilgilendirdikten sonra, belgelendirme sağlar ve belgelendirmeyi yeniler. Üye devletler bu</w:t>
      </w:r>
      <w:r>
        <w:rPr>
          <w:spacing w:val="-6"/>
          <w:sz w:val="20"/>
        </w:rPr>
        <w:t> </w:t>
      </w:r>
      <w:r>
        <w:rPr>
          <w:sz w:val="20"/>
        </w:rPr>
        <w:t>belgelendirme</w:t>
      </w:r>
      <w:r>
        <w:rPr>
          <w:spacing w:val="-5"/>
          <w:sz w:val="20"/>
        </w:rPr>
        <w:t> </w:t>
      </w:r>
      <w:r>
        <w:rPr>
          <w:sz w:val="20"/>
        </w:rPr>
        <w:t>organlarının</w:t>
      </w:r>
      <w:r>
        <w:rPr>
          <w:spacing w:val="-6"/>
          <w:sz w:val="20"/>
        </w:rPr>
        <w:t> </w:t>
      </w:r>
      <w:r>
        <w:rPr>
          <w:sz w:val="20"/>
        </w:rPr>
        <w:t>aşağıdakilerin</w:t>
      </w:r>
      <w:r>
        <w:rPr>
          <w:spacing w:val="-4"/>
          <w:sz w:val="20"/>
        </w:rPr>
        <w:t> </w:t>
      </w:r>
      <w:r>
        <w:rPr>
          <w:sz w:val="20"/>
        </w:rPr>
        <w:t>biri</w:t>
      </w:r>
      <w:r>
        <w:rPr>
          <w:spacing w:val="-6"/>
          <w:sz w:val="20"/>
        </w:rPr>
        <w:t> </w:t>
      </w:r>
      <w:r>
        <w:rPr>
          <w:sz w:val="20"/>
        </w:rPr>
        <w:t>veya</w:t>
      </w:r>
      <w:r>
        <w:rPr>
          <w:spacing w:val="-1"/>
          <w:sz w:val="20"/>
        </w:rPr>
        <w:t> </w:t>
      </w:r>
      <w:r>
        <w:rPr>
          <w:sz w:val="20"/>
        </w:rPr>
        <w:t>her</w:t>
      </w:r>
      <w:r>
        <w:rPr>
          <w:spacing w:val="-4"/>
          <w:sz w:val="20"/>
        </w:rPr>
        <w:t> </w:t>
      </w:r>
      <w:r>
        <w:rPr>
          <w:sz w:val="20"/>
        </w:rPr>
        <w:t>ikisi</w:t>
      </w:r>
      <w:r>
        <w:rPr>
          <w:spacing w:val="-6"/>
          <w:sz w:val="20"/>
        </w:rPr>
        <w:t> </w:t>
      </w:r>
      <w:r>
        <w:rPr>
          <w:sz w:val="20"/>
        </w:rPr>
        <w:t>tarafından</w:t>
      </w:r>
      <w:r>
        <w:rPr>
          <w:spacing w:val="-6"/>
          <w:sz w:val="20"/>
        </w:rPr>
        <w:t> </w:t>
      </w:r>
      <w:r>
        <w:rPr>
          <w:sz w:val="20"/>
        </w:rPr>
        <w:t>akredite</w:t>
      </w:r>
      <w:r>
        <w:rPr>
          <w:spacing w:val="-3"/>
          <w:sz w:val="20"/>
        </w:rPr>
        <w:t> </w:t>
      </w:r>
      <w:r>
        <w:rPr>
          <w:sz w:val="20"/>
        </w:rPr>
        <w:t>edilmesini</w:t>
      </w:r>
      <w:r>
        <w:rPr>
          <w:spacing w:val="-6"/>
          <w:sz w:val="20"/>
        </w:rPr>
        <w:t> </w:t>
      </w:r>
      <w:r>
        <w:rPr>
          <w:sz w:val="20"/>
        </w:rPr>
        <w:t>sağlar:</w:t>
      </w:r>
    </w:p>
    <w:p>
      <w:pPr>
        <w:pStyle w:val="BodyText"/>
        <w:rPr>
          <w:sz w:val="22"/>
        </w:rPr>
      </w:pPr>
    </w:p>
    <w:p>
      <w:pPr>
        <w:pStyle w:val="BodyText"/>
        <w:spacing w:before="1"/>
        <w:rPr>
          <w:sz w:val="24"/>
        </w:rPr>
      </w:pPr>
    </w:p>
    <w:p>
      <w:pPr>
        <w:pStyle w:val="ListParagraph"/>
        <w:numPr>
          <w:ilvl w:val="0"/>
          <w:numId w:val="78"/>
        </w:numPr>
        <w:tabs>
          <w:tab w:pos="1027" w:val="left" w:leader="none"/>
        </w:tabs>
        <w:spacing w:line="240" w:lineRule="auto" w:before="0" w:after="0"/>
        <w:ind w:left="1022" w:right="0" w:hanging="296"/>
        <w:jc w:val="both"/>
        <w:rPr>
          <w:sz w:val="20"/>
        </w:rPr>
      </w:pPr>
      <w:r>
        <w:rPr>
          <w:sz w:val="20"/>
        </w:rPr>
        <w:t>55 veya 56. maddeler uyarınca yetkin olan denetim</w:t>
      </w:r>
      <w:r>
        <w:rPr>
          <w:spacing w:val="-3"/>
          <w:sz w:val="20"/>
        </w:rPr>
        <w:t> </w:t>
      </w:r>
      <w:r>
        <w:rPr>
          <w:sz w:val="20"/>
        </w:rPr>
        <w:t>makamı;</w:t>
      </w:r>
    </w:p>
    <w:p>
      <w:pPr>
        <w:pStyle w:val="BodyText"/>
        <w:spacing w:before="9"/>
        <w:rPr>
          <w:sz w:val="26"/>
        </w:rPr>
      </w:pPr>
    </w:p>
    <w:p>
      <w:pPr>
        <w:pStyle w:val="ListParagraph"/>
        <w:numPr>
          <w:ilvl w:val="0"/>
          <w:numId w:val="78"/>
        </w:numPr>
        <w:tabs>
          <w:tab w:pos="1075" w:val="left" w:leader="none"/>
        </w:tabs>
        <w:spacing w:line="276" w:lineRule="auto" w:before="0" w:after="0"/>
        <w:ind w:left="1022" w:right="688" w:hanging="296"/>
        <w:jc w:val="both"/>
        <w:rPr>
          <w:sz w:val="20"/>
        </w:rPr>
      </w:pPr>
      <w:r>
        <w:rPr>
          <w:sz w:val="20"/>
        </w:rPr>
        <w:t>EN-ISO/IEC 17065/2012’ye uygun olarak (AT) 765/2008 sayılı Avrupa Parlamentosu ve Konsey Tüzüğü</w:t>
      </w:r>
      <w:r>
        <w:rPr>
          <w:sz w:val="20"/>
          <w:vertAlign w:val="superscript"/>
        </w:rPr>
        <w:t>2</w:t>
      </w:r>
      <w:r>
        <w:rPr>
          <w:sz w:val="20"/>
          <w:vertAlign w:val="baseline"/>
        </w:rPr>
        <w:t> uyarınca ve 55 ya da 56. madde uyarınca yetkin olan denetim makamı tarafından belirlenen ek gereklilikler uyarınca tayin edilen ulusal akreditasyon</w:t>
      </w:r>
      <w:r>
        <w:rPr>
          <w:spacing w:val="-6"/>
          <w:sz w:val="20"/>
          <w:vertAlign w:val="baseline"/>
        </w:rPr>
        <w:t> </w:t>
      </w:r>
      <w:r>
        <w:rPr>
          <w:sz w:val="20"/>
          <w:vertAlign w:val="baseline"/>
        </w:rPr>
        <w:t>organı.</w:t>
      </w:r>
    </w:p>
    <w:p>
      <w:pPr>
        <w:pStyle w:val="BodyText"/>
        <w:spacing w:before="1"/>
        <w:rPr>
          <w:sz w:val="23"/>
        </w:rPr>
      </w:pPr>
    </w:p>
    <w:p>
      <w:pPr>
        <w:pStyle w:val="ListParagraph"/>
        <w:numPr>
          <w:ilvl w:val="0"/>
          <w:numId w:val="77"/>
        </w:numPr>
        <w:tabs>
          <w:tab w:pos="948" w:val="left" w:leader="none"/>
        </w:tabs>
        <w:spacing w:line="240" w:lineRule="auto" w:before="0" w:after="0"/>
        <w:ind w:left="947" w:right="0" w:hanging="221"/>
        <w:jc w:val="both"/>
        <w:rPr>
          <w:sz w:val="20"/>
        </w:rPr>
      </w:pPr>
      <w:r>
        <w:rPr>
          <w:sz w:val="20"/>
        </w:rPr>
        <w:t>1. paragrafta atıfta bulunulan belgelendirme organları, ancak aşağıdaki özellikleri</w:t>
      </w:r>
      <w:r>
        <w:rPr>
          <w:spacing w:val="-16"/>
          <w:sz w:val="20"/>
        </w:rPr>
        <w:t> </w:t>
      </w:r>
      <w:r>
        <w:rPr>
          <w:sz w:val="20"/>
        </w:rPr>
        <w:t>taşımaları</w:t>
      </w:r>
    </w:p>
    <w:p>
      <w:pPr>
        <w:pStyle w:val="BodyText"/>
        <w:spacing w:before="10"/>
        <w:rPr>
          <w:sz w:val="21"/>
        </w:rPr>
      </w:pPr>
      <w:r>
        <w:rPr/>
        <w:pict>
          <v:line style="position:absolute;mso-position-horizontal-relative:page;mso-position-vertical-relative:paragraph;z-index:1912;mso-wrap-distance-left:0;mso-wrap-distance-right:0" from="36pt,14.93144pt" to="180.05pt,14.93144pt" stroked="true" strokeweight=".72003pt" strokecolor="#000000">
            <v:stroke dashstyle="solid"/>
            <w10:wrap type="topAndBottom"/>
          </v:line>
        </w:pict>
      </w:r>
    </w:p>
    <w:p>
      <w:pPr>
        <w:spacing w:line="256" w:lineRule="auto" w:before="58"/>
        <w:ind w:left="100" w:right="0" w:firstLine="0"/>
        <w:jc w:val="left"/>
        <w:rPr>
          <w:rFonts w:ascii="メイリオ" w:hAnsi="メイリオ"/>
          <w:sz w:val="17"/>
        </w:rPr>
      </w:pPr>
      <w:r>
        <w:rPr>
          <w:rFonts w:ascii="Calibri" w:hAnsi="Calibri"/>
          <w:position w:val="10"/>
          <w:sz w:val="13"/>
        </w:rPr>
        <w:t>2 </w:t>
      </w:r>
      <w:r>
        <w:rPr>
          <w:rFonts w:ascii="Times New Roman" w:hAnsi="Times New Roman"/>
          <w:sz w:val="17"/>
        </w:rPr>
        <w:t>Ü</w:t>
      </w:r>
      <w:r>
        <w:rPr>
          <w:rFonts w:ascii="メイリオ" w:hAnsi="メイリオ"/>
          <w:sz w:val="17"/>
        </w:rPr>
        <w:t>r</w:t>
      </w:r>
      <w:r>
        <w:rPr>
          <w:rFonts w:ascii="Times New Roman" w:hAnsi="Times New Roman"/>
          <w:sz w:val="17"/>
        </w:rPr>
        <w:t>ü</w:t>
      </w:r>
      <w:r>
        <w:rPr>
          <w:rFonts w:ascii="メイリオ" w:hAnsi="メイリオ"/>
          <w:sz w:val="17"/>
        </w:rPr>
        <w:t>nlerin pazarlanmas</w:t>
      </w:r>
      <w:r>
        <w:rPr>
          <w:rFonts w:ascii="Times New Roman" w:hAnsi="Times New Roman"/>
          <w:sz w:val="17"/>
        </w:rPr>
        <w:t>ı </w:t>
      </w:r>
      <w:r>
        <w:rPr>
          <w:rFonts w:ascii="メイリオ" w:hAnsi="メイリオ"/>
          <w:sz w:val="17"/>
        </w:rPr>
        <w:t>ile ilgili akreditasyon ve pazar g</w:t>
      </w:r>
      <w:r>
        <w:rPr>
          <w:rFonts w:ascii="Times New Roman" w:hAnsi="Times New Roman"/>
          <w:sz w:val="17"/>
        </w:rPr>
        <w:t>ö</w:t>
      </w:r>
      <w:r>
        <w:rPr>
          <w:rFonts w:ascii="メイリオ" w:hAnsi="メイリオ"/>
          <w:sz w:val="17"/>
        </w:rPr>
        <w:t>zetimi gerekliliklerini belirleyen ve (AET) 339/93 say</w:t>
      </w:r>
      <w:r>
        <w:rPr>
          <w:rFonts w:ascii="Times New Roman" w:hAnsi="Times New Roman"/>
          <w:sz w:val="17"/>
        </w:rPr>
        <w:t>ı</w:t>
      </w:r>
      <w:r>
        <w:rPr>
          <w:rFonts w:ascii="メイリオ" w:hAnsi="メイリオ"/>
          <w:sz w:val="17"/>
        </w:rPr>
        <w:t>l</w:t>
      </w:r>
      <w:r>
        <w:rPr>
          <w:rFonts w:ascii="Times New Roman" w:hAnsi="Times New Roman"/>
          <w:sz w:val="17"/>
        </w:rPr>
        <w:t>ı </w:t>
      </w:r>
      <w:r>
        <w:rPr>
          <w:rFonts w:ascii="メイリオ" w:hAnsi="メイリオ"/>
          <w:sz w:val="17"/>
        </w:rPr>
        <w:t>T</w:t>
      </w:r>
      <w:r>
        <w:rPr>
          <w:rFonts w:ascii="Times New Roman" w:hAnsi="Times New Roman"/>
          <w:sz w:val="17"/>
        </w:rPr>
        <w:t>ü</w:t>
      </w:r>
      <w:r>
        <w:rPr>
          <w:rFonts w:ascii="メイリオ" w:hAnsi="メイリオ"/>
          <w:sz w:val="17"/>
        </w:rPr>
        <w:t>z</w:t>
      </w:r>
      <w:r>
        <w:rPr>
          <w:rFonts w:ascii="Times New Roman" w:hAnsi="Times New Roman"/>
          <w:sz w:val="17"/>
        </w:rPr>
        <w:t>ü</w:t>
      </w:r>
      <w:r>
        <w:rPr>
          <w:rFonts w:ascii="メイリオ" w:hAnsi="メイリオ"/>
          <w:sz w:val="17"/>
        </w:rPr>
        <w:t>k</w:t>
      </w:r>
      <w:r>
        <w:rPr>
          <w:rFonts w:ascii="Times New Roman" w:hAnsi="Times New Roman"/>
          <w:sz w:val="17"/>
        </w:rPr>
        <w:t>’ü </w:t>
      </w:r>
      <w:r>
        <w:rPr>
          <w:rFonts w:ascii="メイリオ" w:hAnsi="メイリオ"/>
          <w:sz w:val="17"/>
        </w:rPr>
        <w:t>y</w:t>
      </w:r>
      <w:r>
        <w:rPr>
          <w:rFonts w:ascii="Times New Roman" w:hAnsi="Times New Roman"/>
          <w:sz w:val="17"/>
        </w:rPr>
        <w:t>ü</w:t>
      </w:r>
      <w:r>
        <w:rPr>
          <w:rFonts w:ascii="メイリオ" w:hAnsi="メイリオ"/>
          <w:sz w:val="17"/>
        </w:rPr>
        <w:t>r</w:t>
      </w:r>
      <w:r>
        <w:rPr>
          <w:rFonts w:ascii="Times New Roman" w:hAnsi="Times New Roman"/>
          <w:sz w:val="17"/>
        </w:rPr>
        <w:t>ü</w:t>
      </w:r>
      <w:r>
        <w:rPr>
          <w:rFonts w:ascii="メイリオ" w:hAnsi="メイリオ"/>
          <w:sz w:val="17"/>
        </w:rPr>
        <w:t>rl</w:t>
      </w:r>
      <w:r>
        <w:rPr>
          <w:rFonts w:ascii="Times New Roman" w:hAnsi="Times New Roman"/>
          <w:sz w:val="17"/>
        </w:rPr>
        <w:t>ü</w:t>
      </w:r>
      <w:r>
        <w:rPr>
          <w:rFonts w:ascii="メイリオ" w:hAnsi="メイリオ"/>
          <w:sz w:val="17"/>
        </w:rPr>
        <w:t>kten kald</w:t>
      </w:r>
      <w:r>
        <w:rPr>
          <w:rFonts w:ascii="Times New Roman" w:hAnsi="Times New Roman"/>
          <w:sz w:val="17"/>
        </w:rPr>
        <w:t>ı</w:t>
      </w:r>
      <w:r>
        <w:rPr>
          <w:rFonts w:ascii="メイリオ" w:hAnsi="メイリオ"/>
          <w:sz w:val="17"/>
        </w:rPr>
        <w:t>ran 9 Temmuz 2008 tarihli ve (AT) 765/2008 say</w:t>
      </w:r>
      <w:r>
        <w:rPr>
          <w:rFonts w:ascii="Times New Roman" w:hAnsi="Times New Roman"/>
          <w:sz w:val="17"/>
        </w:rPr>
        <w:t>ı</w:t>
      </w:r>
      <w:r>
        <w:rPr>
          <w:rFonts w:ascii="メイリオ" w:hAnsi="メイリオ"/>
          <w:sz w:val="17"/>
        </w:rPr>
        <w:t>l</w:t>
      </w:r>
      <w:r>
        <w:rPr>
          <w:rFonts w:ascii="Times New Roman" w:hAnsi="Times New Roman"/>
          <w:sz w:val="17"/>
        </w:rPr>
        <w:t>ı </w:t>
      </w:r>
      <w:r>
        <w:rPr>
          <w:rFonts w:ascii="メイリオ" w:hAnsi="メイリオ"/>
          <w:sz w:val="17"/>
        </w:rPr>
        <w:t>Avrupa Parlamentosu ve Konseyi T</w:t>
      </w:r>
      <w:r>
        <w:rPr>
          <w:rFonts w:ascii="Times New Roman" w:hAnsi="Times New Roman"/>
          <w:sz w:val="17"/>
        </w:rPr>
        <w:t>ü</w:t>
      </w:r>
      <w:r>
        <w:rPr>
          <w:rFonts w:ascii="メイリオ" w:hAnsi="メイリオ"/>
          <w:sz w:val="17"/>
        </w:rPr>
        <w:t>z</w:t>
      </w:r>
      <w:r>
        <w:rPr>
          <w:rFonts w:ascii="Times New Roman" w:hAnsi="Times New Roman"/>
          <w:sz w:val="17"/>
        </w:rPr>
        <w:t>üğü </w:t>
      </w:r>
      <w:r>
        <w:rPr>
          <w:rFonts w:ascii="メイリオ" w:hAnsi="メイリオ"/>
          <w:sz w:val="17"/>
        </w:rPr>
        <w:t>(ABRG L 218, 13.8.2008, s. 30).</w:t>
      </w:r>
    </w:p>
    <w:p>
      <w:pPr>
        <w:spacing w:after="0" w:line="256" w:lineRule="auto"/>
        <w:jc w:val="left"/>
        <w:rPr>
          <w:rFonts w:ascii="メイリオ" w:hAnsi="メイリオ"/>
          <w:sz w:val="17"/>
        </w:rPr>
        <w:sectPr>
          <w:pgSz w:w="11930" w:h="16850"/>
          <w:pgMar w:header="961" w:footer="0" w:top="1240" w:bottom="280" w:left="620" w:right="600"/>
        </w:sectPr>
      </w:pPr>
    </w:p>
    <w:p>
      <w:pPr>
        <w:pStyle w:val="BodyText"/>
        <w:spacing w:line="20" w:lineRule="exact"/>
        <w:ind w:left="204"/>
        <w:rPr>
          <w:rFonts w:ascii="メイリオ"/>
          <w:sz w:val="2"/>
        </w:rPr>
      </w:pPr>
      <w:r>
        <w:rPr>
          <w:rFonts w:ascii="メイリオ"/>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rFonts w:ascii="メイリオ"/>
          <w:sz w:val="2"/>
        </w:rPr>
      </w:r>
    </w:p>
    <w:p>
      <w:pPr>
        <w:pStyle w:val="BodyText"/>
        <w:spacing w:before="66"/>
        <w:ind w:left="726"/>
        <w:jc w:val="both"/>
      </w:pPr>
      <w:r>
        <w:rPr/>
        <w:t>halinde, bu paragraf uyarınca akredite edilir:</w:t>
      </w:r>
    </w:p>
    <w:p>
      <w:pPr>
        <w:pStyle w:val="BodyText"/>
        <w:spacing w:before="2"/>
        <w:rPr>
          <w:sz w:val="26"/>
        </w:rPr>
      </w:pPr>
    </w:p>
    <w:p>
      <w:pPr>
        <w:pStyle w:val="ListParagraph"/>
        <w:numPr>
          <w:ilvl w:val="0"/>
          <w:numId w:val="79"/>
        </w:numPr>
        <w:tabs>
          <w:tab w:pos="1075" w:val="left" w:leader="none"/>
        </w:tabs>
        <w:spacing w:line="276" w:lineRule="auto" w:before="0" w:after="0"/>
        <w:ind w:left="1022" w:right="699" w:hanging="296"/>
        <w:jc w:val="both"/>
        <w:rPr>
          <w:sz w:val="20"/>
        </w:rPr>
      </w:pPr>
      <w:r>
        <w:rPr>
          <w:sz w:val="20"/>
        </w:rPr>
        <w:t>belgelendirme konusuna ilişkin bağımsızlıkları ve uzmanlıklarını yetkin denetim makamını tatmin edecek şekilde göstermiş</w:t>
      </w:r>
      <w:r>
        <w:rPr>
          <w:spacing w:val="-1"/>
          <w:sz w:val="20"/>
        </w:rPr>
        <w:t> </w:t>
      </w:r>
      <w:r>
        <w:rPr>
          <w:sz w:val="20"/>
        </w:rPr>
        <w:t>olmaları;</w:t>
      </w:r>
    </w:p>
    <w:p>
      <w:pPr>
        <w:pStyle w:val="BodyText"/>
        <w:spacing w:before="1"/>
        <w:rPr>
          <w:sz w:val="27"/>
        </w:rPr>
      </w:pPr>
    </w:p>
    <w:p>
      <w:pPr>
        <w:pStyle w:val="ListParagraph"/>
        <w:numPr>
          <w:ilvl w:val="0"/>
          <w:numId w:val="79"/>
        </w:numPr>
        <w:tabs>
          <w:tab w:pos="1068" w:val="left" w:leader="none"/>
        </w:tabs>
        <w:spacing w:line="276" w:lineRule="auto" w:before="0" w:after="0"/>
        <w:ind w:left="1022" w:right="694" w:hanging="296"/>
        <w:jc w:val="both"/>
        <w:rPr>
          <w:sz w:val="20"/>
        </w:rPr>
      </w:pPr>
      <w:r>
        <w:rPr>
          <w:sz w:val="20"/>
        </w:rPr>
        <w:t>42(5) maddesinde atıfta bulunulan ve 55 veya 56. madde uyarınca yetkin olan denetim makamı tarafından veya 63. madde uyarınca Kurul tarafından onaylanan kriterlere riayet etmeyi taahhüt etmiş olmaları;</w:t>
      </w:r>
    </w:p>
    <w:p>
      <w:pPr>
        <w:pStyle w:val="BodyText"/>
        <w:spacing w:before="5"/>
        <w:rPr>
          <w:sz w:val="23"/>
        </w:rPr>
      </w:pPr>
    </w:p>
    <w:p>
      <w:pPr>
        <w:pStyle w:val="ListParagraph"/>
        <w:numPr>
          <w:ilvl w:val="0"/>
          <w:numId w:val="79"/>
        </w:numPr>
        <w:tabs>
          <w:tab w:pos="1115" w:val="left" w:leader="none"/>
        </w:tabs>
        <w:spacing w:line="276" w:lineRule="auto" w:before="0" w:after="0"/>
        <w:ind w:left="1022" w:right="701" w:hanging="296"/>
        <w:jc w:val="both"/>
        <w:rPr>
          <w:sz w:val="20"/>
        </w:rPr>
      </w:pPr>
      <w:r>
        <w:rPr>
          <w:sz w:val="20"/>
        </w:rPr>
        <w:t>veri koruma belgelendirmesi, mühürleri ve işaretlerinin verilmesi, düzenli aralıklarla gözden geçirilmesi ve geri çekilmesine ilişkin usuller oluşturmuş</w:t>
      </w:r>
      <w:r>
        <w:rPr>
          <w:spacing w:val="-11"/>
          <w:sz w:val="20"/>
        </w:rPr>
        <w:t> </w:t>
      </w:r>
      <w:r>
        <w:rPr>
          <w:sz w:val="20"/>
        </w:rPr>
        <w:t>olmaları;</w:t>
      </w:r>
    </w:p>
    <w:p>
      <w:pPr>
        <w:pStyle w:val="BodyText"/>
        <w:spacing w:before="6"/>
        <w:rPr>
          <w:sz w:val="23"/>
        </w:rPr>
      </w:pPr>
    </w:p>
    <w:p>
      <w:pPr>
        <w:pStyle w:val="ListParagraph"/>
        <w:numPr>
          <w:ilvl w:val="0"/>
          <w:numId w:val="79"/>
        </w:numPr>
        <w:tabs>
          <w:tab w:pos="1058" w:val="left" w:leader="none"/>
        </w:tabs>
        <w:spacing w:line="276" w:lineRule="auto" w:before="0" w:after="0"/>
        <w:ind w:left="1022" w:right="692" w:hanging="296"/>
        <w:jc w:val="both"/>
        <w:rPr>
          <w:sz w:val="20"/>
        </w:rPr>
      </w:pPr>
      <w:r>
        <w:rPr>
          <w:sz w:val="20"/>
        </w:rPr>
        <w:t>belgelendirme veya belgelendirmenin bir kontrolör ya da işleyici tarafından uygulanmış olma veya uygulanma şekline ilişkin ihlallere yönelik şikayetlerin ele alınması hususunda usuller ve yapıları oluşturmuş olmaları ve bu usuller ile yapıları veri sahipleri ile kamuoyuna şeffaf hale getirmiş olmaları ve</w:t>
      </w:r>
    </w:p>
    <w:p>
      <w:pPr>
        <w:pStyle w:val="BodyText"/>
        <w:spacing w:before="5"/>
        <w:rPr>
          <w:sz w:val="23"/>
        </w:rPr>
      </w:pPr>
    </w:p>
    <w:p>
      <w:pPr>
        <w:pStyle w:val="ListParagraph"/>
        <w:numPr>
          <w:ilvl w:val="0"/>
          <w:numId w:val="79"/>
        </w:numPr>
        <w:tabs>
          <w:tab w:pos="1029" w:val="left" w:leader="none"/>
        </w:tabs>
        <w:spacing w:line="276" w:lineRule="auto" w:before="0" w:after="0"/>
        <w:ind w:left="1022" w:right="697" w:hanging="296"/>
        <w:jc w:val="both"/>
        <w:rPr>
          <w:sz w:val="20"/>
        </w:rPr>
      </w:pPr>
      <w:r>
        <w:rPr>
          <w:sz w:val="20"/>
        </w:rPr>
        <w:t>görev ve vazifelerinin bir çıkar çatışmasına neden olmadığını yetkin denetim makamını tatmin edecek şekilde göstermiş</w:t>
      </w:r>
      <w:r>
        <w:rPr>
          <w:spacing w:val="-3"/>
          <w:sz w:val="20"/>
        </w:rPr>
        <w:t> </w:t>
      </w:r>
      <w:r>
        <w:rPr>
          <w:sz w:val="20"/>
        </w:rPr>
        <w:t>olmaları.</w:t>
      </w:r>
    </w:p>
    <w:p>
      <w:pPr>
        <w:pStyle w:val="BodyText"/>
        <w:spacing w:before="6"/>
        <w:rPr>
          <w:sz w:val="23"/>
        </w:rPr>
      </w:pPr>
    </w:p>
    <w:p>
      <w:pPr>
        <w:pStyle w:val="ListParagraph"/>
        <w:numPr>
          <w:ilvl w:val="0"/>
          <w:numId w:val="77"/>
        </w:numPr>
        <w:tabs>
          <w:tab w:pos="953" w:val="left" w:leader="none"/>
        </w:tabs>
        <w:spacing w:line="276" w:lineRule="auto" w:before="0" w:after="0"/>
        <w:ind w:left="726" w:right="688" w:firstLine="0"/>
        <w:jc w:val="both"/>
        <w:rPr>
          <w:sz w:val="20"/>
        </w:rPr>
      </w:pPr>
      <w:r>
        <w:rPr>
          <w:sz w:val="20"/>
        </w:rPr>
        <w:t>Belgelendirme organlarının bu maddenin 1 ve 2. bentlerinde atıfta bulunulan şekilde akreditasyonu 55 veya 56. madde uyarınca yetkin olan denetim makamı tarafından veya 63. madde uyarınca Kurul tarafından onaylanan kriterlere dayalı olarak gerçekleşir. Bu maddenin 1. paragrafının (b) bendi uyarınca akreditasyon yapılması halinde, bu gereklilikler (AT) 765/2008 sayılı Tüzük’te öngörülen gereklilikleri </w:t>
      </w:r>
      <w:r>
        <w:rPr>
          <w:spacing w:val="5"/>
          <w:sz w:val="20"/>
        </w:rPr>
        <w:t>ve </w:t>
      </w:r>
      <w:r>
        <w:rPr>
          <w:sz w:val="20"/>
        </w:rPr>
        <w:t>belgelendirme organlarının yöntemleri ve usullerinin açıklandığı teknik kuralları</w:t>
      </w:r>
      <w:r>
        <w:rPr>
          <w:spacing w:val="-16"/>
          <w:sz w:val="20"/>
        </w:rPr>
        <w:t> </w:t>
      </w:r>
      <w:r>
        <w:rPr>
          <w:sz w:val="20"/>
        </w:rPr>
        <w:t>tamamlar.</w:t>
      </w:r>
    </w:p>
    <w:p>
      <w:pPr>
        <w:pStyle w:val="BodyText"/>
        <w:rPr>
          <w:sz w:val="22"/>
        </w:rPr>
      </w:pPr>
    </w:p>
    <w:p>
      <w:pPr>
        <w:pStyle w:val="BodyText"/>
        <w:spacing w:before="9"/>
        <w:rPr>
          <w:sz w:val="24"/>
        </w:rPr>
      </w:pPr>
    </w:p>
    <w:p>
      <w:pPr>
        <w:pStyle w:val="ListParagraph"/>
        <w:numPr>
          <w:ilvl w:val="0"/>
          <w:numId w:val="77"/>
        </w:numPr>
        <w:tabs>
          <w:tab w:pos="989" w:val="left" w:leader="none"/>
        </w:tabs>
        <w:spacing w:line="276" w:lineRule="auto" w:before="0" w:after="0"/>
        <w:ind w:left="726" w:right="693" w:firstLine="0"/>
        <w:jc w:val="both"/>
        <w:rPr>
          <w:sz w:val="20"/>
        </w:rPr>
      </w:pPr>
      <w:r>
        <w:rPr>
          <w:sz w:val="20"/>
        </w:rPr>
        <w:t>1. paragrafta atıfta bulunulan belgelendirme organları, kontrolör veya işleyicinin bu Tüzük’e uyum sorumluluğuna halel gelmeksizin, belgelendirmeyle sonuçlanan uygun bir değerlendirmeden veya söz konusu belgelendirmenin geri çekilmesinden sorumludur. Akreditasyon azami beş yıllık bir süre  için verilir ve, belgelendirme organının bu maddede ortaya konan gereklilikleri yerine getirmesi koşuluyla, aynı koşullar altında, yenilenebilir.</w:t>
      </w:r>
    </w:p>
    <w:p>
      <w:pPr>
        <w:pStyle w:val="BodyText"/>
        <w:rPr>
          <w:sz w:val="22"/>
        </w:rPr>
      </w:pPr>
    </w:p>
    <w:p>
      <w:pPr>
        <w:pStyle w:val="BodyText"/>
        <w:spacing w:before="8"/>
        <w:rPr>
          <w:sz w:val="24"/>
        </w:rPr>
      </w:pPr>
    </w:p>
    <w:p>
      <w:pPr>
        <w:pStyle w:val="ListParagraph"/>
        <w:numPr>
          <w:ilvl w:val="0"/>
          <w:numId w:val="77"/>
        </w:numPr>
        <w:tabs>
          <w:tab w:pos="982" w:val="left" w:leader="none"/>
        </w:tabs>
        <w:spacing w:line="278" w:lineRule="auto" w:before="1" w:after="0"/>
        <w:ind w:left="726" w:right="705" w:firstLine="0"/>
        <w:jc w:val="both"/>
        <w:rPr>
          <w:sz w:val="20"/>
        </w:rPr>
      </w:pPr>
      <w:r>
        <w:rPr>
          <w:sz w:val="20"/>
        </w:rPr>
        <w:t>1. paragrafta atıfta bulunulan belgelendirme organları talep edilen belgelendirmenin verilmesi veya geri çekilmesine ilişkin sebepleri yetkin denetim makamına</w:t>
      </w:r>
      <w:r>
        <w:rPr>
          <w:spacing w:val="-8"/>
          <w:sz w:val="20"/>
        </w:rPr>
        <w:t> </w:t>
      </w:r>
      <w:r>
        <w:rPr>
          <w:sz w:val="20"/>
        </w:rPr>
        <w:t>sağlar.</w:t>
      </w:r>
    </w:p>
    <w:p>
      <w:pPr>
        <w:pStyle w:val="BodyText"/>
        <w:rPr>
          <w:sz w:val="22"/>
        </w:rPr>
      </w:pPr>
    </w:p>
    <w:p>
      <w:pPr>
        <w:pStyle w:val="BodyText"/>
        <w:spacing w:before="3"/>
        <w:rPr>
          <w:sz w:val="24"/>
        </w:rPr>
      </w:pPr>
    </w:p>
    <w:p>
      <w:pPr>
        <w:pStyle w:val="ListParagraph"/>
        <w:numPr>
          <w:ilvl w:val="0"/>
          <w:numId w:val="77"/>
        </w:numPr>
        <w:tabs>
          <w:tab w:pos="1001" w:val="left" w:leader="none"/>
        </w:tabs>
        <w:spacing w:line="276" w:lineRule="auto" w:before="0" w:after="0"/>
        <w:ind w:left="726" w:right="694" w:firstLine="0"/>
        <w:jc w:val="both"/>
        <w:rPr>
          <w:sz w:val="20"/>
        </w:rPr>
      </w:pPr>
      <w:r>
        <w:rPr>
          <w:sz w:val="20"/>
        </w:rPr>
        <w:t>Bu maddenin 3. paragrafında atıfta bulunulan gereklilikler ve 42(5) maddesinde atıfta bulunulan kriterler denetim makamı tarafından kolayca erişilebilecek bir formatta kamuya açıklanır. Denetim makamları da bu gereklilikleri ve kriterleri Kurula iletir. Kurul tüm belgelendirme mekanizmaları ve veri koruma mühürlerini bir sicilde toplar ve uygun yollarla kamuoyuna</w:t>
      </w:r>
      <w:r>
        <w:rPr>
          <w:spacing w:val="-11"/>
          <w:sz w:val="20"/>
        </w:rPr>
        <w:t> </w:t>
      </w:r>
      <w:r>
        <w:rPr>
          <w:sz w:val="20"/>
        </w:rPr>
        <w:t>açıklar.</w:t>
      </w:r>
    </w:p>
    <w:p>
      <w:pPr>
        <w:pStyle w:val="BodyText"/>
        <w:rPr>
          <w:sz w:val="22"/>
        </w:rPr>
      </w:pPr>
    </w:p>
    <w:p>
      <w:pPr>
        <w:pStyle w:val="BodyText"/>
        <w:spacing w:before="7"/>
        <w:rPr>
          <w:sz w:val="24"/>
        </w:rPr>
      </w:pPr>
    </w:p>
    <w:p>
      <w:pPr>
        <w:pStyle w:val="ListParagraph"/>
        <w:numPr>
          <w:ilvl w:val="0"/>
          <w:numId w:val="77"/>
        </w:numPr>
        <w:tabs>
          <w:tab w:pos="1015" w:val="left" w:leader="none"/>
        </w:tabs>
        <w:spacing w:line="276" w:lineRule="auto" w:before="0" w:after="0"/>
        <w:ind w:left="726" w:right="691" w:firstLine="0"/>
        <w:jc w:val="both"/>
        <w:rPr>
          <w:sz w:val="20"/>
        </w:rPr>
      </w:pPr>
      <w:r>
        <w:rPr>
          <w:sz w:val="20"/>
        </w:rPr>
        <w:t>Bölüm VIII’e halel gelmeksizin, akreditasyon koşullarının yerine getirilmemesi veya artık yerine getirilmemesi halinde veya bir belgelendirme organı tarafından gerçekleştirilen eylemlerin bu Tüzük’ü ihlal ettiği hallerde, yetkin denetim makamı veya ulusal akreditasyon organı bu maddenin 1. paragrafı uyarınca bir belgelendirme organının akreditasyonunu</w:t>
      </w:r>
      <w:r>
        <w:rPr>
          <w:spacing w:val="-8"/>
          <w:sz w:val="20"/>
        </w:rPr>
        <w:t> </w:t>
      </w:r>
      <w:r>
        <w:rPr>
          <w:sz w:val="20"/>
        </w:rPr>
        <w:t>kaldırır.</w:t>
      </w:r>
    </w:p>
    <w:p>
      <w:pPr>
        <w:pStyle w:val="BodyText"/>
        <w:rPr>
          <w:sz w:val="22"/>
        </w:rPr>
      </w:pPr>
    </w:p>
    <w:p>
      <w:pPr>
        <w:pStyle w:val="BodyText"/>
        <w:spacing w:before="7"/>
        <w:rPr>
          <w:sz w:val="24"/>
        </w:rPr>
      </w:pPr>
    </w:p>
    <w:p>
      <w:pPr>
        <w:pStyle w:val="ListParagraph"/>
        <w:numPr>
          <w:ilvl w:val="0"/>
          <w:numId w:val="77"/>
        </w:numPr>
        <w:tabs>
          <w:tab w:pos="1140" w:val="left" w:leader="none"/>
        </w:tabs>
        <w:spacing w:line="276" w:lineRule="auto" w:before="0" w:after="0"/>
        <w:ind w:left="726" w:right="697" w:firstLine="0"/>
        <w:jc w:val="both"/>
        <w:rPr>
          <w:sz w:val="20"/>
        </w:rPr>
      </w:pPr>
      <w:r>
        <w:rPr>
          <w:sz w:val="20"/>
        </w:rPr>
        <w:t>Komisyon 42(1) maddesinde atıfta bulunulan veri koruma belgelendirme mekanizmalarına yönelik olarak gerekliliklerin belirtilmesi amacıyla 92. madde uyarınca yetki devrine dayanan tasarrufları kabul etmeye</w:t>
      </w:r>
      <w:r>
        <w:rPr>
          <w:spacing w:val="1"/>
          <w:sz w:val="20"/>
        </w:rPr>
        <w:t> </w:t>
      </w:r>
      <w:r>
        <w:rPr>
          <w:sz w:val="20"/>
        </w:rPr>
        <w:t>yetkindir.</w:t>
      </w:r>
    </w:p>
    <w:p>
      <w:pPr>
        <w:spacing w:after="0" w:line="276"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77"/>
        </w:numPr>
        <w:tabs>
          <w:tab w:pos="1140" w:val="left" w:leader="none"/>
        </w:tabs>
        <w:spacing w:line="276" w:lineRule="auto" w:before="66" w:after="0"/>
        <w:ind w:left="726" w:right="686" w:firstLine="0"/>
        <w:jc w:val="both"/>
        <w:rPr>
          <w:sz w:val="20"/>
        </w:rPr>
      </w:pPr>
      <w:r>
        <w:rPr>
          <w:sz w:val="20"/>
        </w:rPr>
        <w:t>Komisyon belgelendirme mekanizmaları ve veri koruma mühürleri ile işaretleri ve belgelendirme mekanizmaları, mühürleri ve işaretlerinin tanıtılması ve tanınmasıyla ilgili mekanizmalara ilişkin teknik standartların belirlendiği uygulama tasarrufları kabul edebilir. Bu uygulama tasarrufları 93(2) maddesinde atıfta bulunulan inceleme usulü uyarınca kabul</w:t>
      </w:r>
      <w:r>
        <w:rPr>
          <w:spacing w:val="-6"/>
          <w:sz w:val="20"/>
        </w:rPr>
        <w:t> </w:t>
      </w:r>
      <w:r>
        <w:rPr>
          <w:sz w:val="20"/>
        </w:rPr>
        <w:t>edilir.</w:t>
      </w:r>
    </w:p>
    <w:p>
      <w:pPr>
        <w:pStyle w:val="BodyText"/>
        <w:spacing w:before="1"/>
        <w:rPr>
          <w:sz w:val="23"/>
        </w:rPr>
      </w:pPr>
    </w:p>
    <w:p>
      <w:pPr>
        <w:pStyle w:val="BodyText"/>
        <w:ind w:left="2207" w:right="2224"/>
        <w:jc w:val="center"/>
      </w:pPr>
      <w:r>
        <w:rPr/>
        <w:t>BÖLÜM V</w:t>
      </w:r>
    </w:p>
    <w:p>
      <w:pPr>
        <w:pStyle w:val="BodyText"/>
        <w:spacing w:before="1"/>
        <w:rPr>
          <w:sz w:val="27"/>
        </w:rPr>
      </w:pPr>
    </w:p>
    <w:p>
      <w:pPr>
        <w:pStyle w:val="Heading1"/>
        <w:spacing w:before="1"/>
        <w:ind w:left="2478" w:right="0"/>
        <w:jc w:val="left"/>
      </w:pPr>
      <w:r>
        <w:rPr/>
        <w:t>Üçüncü ülkeler veya uluslararası kuruluşlara veri aktarımları</w:t>
      </w:r>
    </w:p>
    <w:p>
      <w:pPr>
        <w:pStyle w:val="BodyText"/>
        <w:spacing w:before="3"/>
        <w:rPr>
          <w:b/>
          <w:sz w:val="26"/>
        </w:rPr>
      </w:pPr>
    </w:p>
    <w:p>
      <w:pPr>
        <w:pStyle w:val="BodyText"/>
        <w:spacing w:line="276" w:lineRule="auto"/>
        <w:ind w:left="5035" w:right="5053"/>
        <w:jc w:val="center"/>
      </w:pPr>
      <w:r>
        <w:rPr/>
        <w:t>Madde 44</w:t>
      </w:r>
    </w:p>
    <w:p>
      <w:pPr>
        <w:pStyle w:val="BodyText"/>
        <w:spacing w:before="8"/>
        <w:rPr>
          <w:sz w:val="22"/>
        </w:rPr>
      </w:pPr>
    </w:p>
    <w:p>
      <w:pPr>
        <w:pStyle w:val="Heading1"/>
        <w:ind w:right="2225"/>
      </w:pPr>
      <w:r>
        <w:rPr/>
        <w:t>Genel aktarım ilkesi</w:t>
      </w:r>
    </w:p>
    <w:p>
      <w:pPr>
        <w:pStyle w:val="BodyText"/>
        <w:spacing w:before="4"/>
        <w:rPr>
          <w:b/>
          <w:sz w:val="26"/>
        </w:rPr>
      </w:pPr>
    </w:p>
    <w:p>
      <w:pPr>
        <w:pStyle w:val="BodyText"/>
        <w:spacing w:line="276" w:lineRule="auto" w:before="1"/>
        <w:ind w:left="726" w:right="689"/>
        <w:jc w:val="both"/>
      </w:pPr>
      <w:r>
        <w:rPr/>
        <w:t>Üçüncü bir ülkeye veya uluslararası bir kuruluşa aktarılmasının ardından işlenen veya işlenmesi amaçlanan kişisel verilerin aktarılması, üçüncü ülkeden veya uluslararası bir kuruluştan başka bir üçüncü ülke veya başka bir uluslararası kuruluşa yönelik transit aktarımlar da dahil olmak üzere, ancak, bu Tüzük’ün diğer hükümlerine tabi olarak, bu Bölüm’de belirtilen koşullara kontrolör ve işleyici tarafından uyulması halinde gerçekleşir. Bu Tüzük ile temin edilen gerçek kişilere yönelik koruma düzeyine zarar verilmemesinin sağlanması amacı ile bu bölümdeki tüm hükümler uygulanır.</w:t>
      </w:r>
    </w:p>
    <w:p>
      <w:pPr>
        <w:pStyle w:val="BodyText"/>
        <w:spacing w:before="9"/>
        <w:rPr>
          <w:sz w:val="25"/>
        </w:rPr>
      </w:pPr>
    </w:p>
    <w:p>
      <w:pPr>
        <w:pStyle w:val="BodyText"/>
        <w:spacing w:line="276" w:lineRule="auto"/>
        <w:ind w:left="5035" w:right="5053"/>
        <w:jc w:val="center"/>
      </w:pPr>
      <w:r>
        <w:rPr/>
        <w:t>Madde 45</w:t>
      </w:r>
    </w:p>
    <w:p>
      <w:pPr>
        <w:pStyle w:val="BodyText"/>
        <w:rPr>
          <w:sz w:val="22"/>
        </w:rPr>
      </w:pPr>
    </w:p>
    <w:p>
      <w:pPr>
        <w:pStyle w:val="BodyText"/>
        <w:spacing w:before="1"/>
        <w:rPr>
          <w:sz w:val="24"/>
        </w:rPr>
      </w:pPr>
    </w:p>
    <w:p>
      <w:pPr>
        <w:pStyle w:val="Heading1"/>
        <w:spacing w:line="276" w:lineRule="auto"/>
        <w:ind w:left="3717" w:right="3739"/>
      </w:pPr>
      <w:r>
        <w:rPr/>
        <w:t>Bir yeterlilik kararına dayalı olarak yapılan aktarımlar</w:t>
      </w:r>
    </w:p>
    <w:p>
      <w:pPr>
        <w:pStyle w:val="BodyText"/>
        <w:rPr>
          <w:b/>
          <w:sz w:val="22"/>
        </w:rPr>
      </w:pPr>
    </w:p>
    <w:p>
      <w:pPr>
        <w:pStyle w:val="BodyText"/>
        <w:spacing w:before="8"/>
        <w:rPr>
          <w:b/>
          <w:sz w:val="24"/>
        </w:rPr>
      </w:pPr>
    </w:p>
    <w:p>
      <w:pPr>
        <w:pStyle w:val="ListParagraph"/>
        <w:numPr>
          <w:ilvl w:val="0"/>
          <w:numId w:val="80"/>
        </w:numPr>
        <w:tabs>
          <w:tab w:pos="965" w:val="left" w:leader="none"/>
        </w:tabs>
        <w:spacing w:line="276" w:lineRule="auto" w:before="0" w:after="0"/>
        <w:ind w:left="726" w:right="696" w:firstLine="0"/>
        <w:jc w:val="both"/>
        <w:rPr>
          <w:sz w:val="20"/>
        </w:rPr>
      </w:pPr>
      <w:r>
        <w:rPr>
          <w:sz w:val="20"/>
        </w:rPr>
        <w:t>Komisyonun bir üçüncü ülke veya söz konusu üçüncü ülke dahilindeki bir bölge veya bir ya da daha fazla sayıda sektörün ya da uluslararası bir kuruluşun yeterli düzeyde bir koruma sağladığına karar verdiği hallerde, bu ülke veya uluslararası kuruluşa yönelik bir kişisel veri aktarımı gerçekleşebilir. Böylesi bir aktarım için spesifik bir onay</w:t>
      </w:r>
      <w:r>
        <w:rPr>
          <w:spacing w:val="-2"/>
          <w:sz w:val="20"/>
        </w:rPr>
        <w:t> </w:t>
      </w:r>
      <w:r>
        <w:rPr>
          <w:sz w:val="20"/>
        </w:rPr>
        <w:t>gerekmez.</w:t>
      </w:r>
    </w:p>
    <w:p>
      <w:pPr>
        <w:pStyle w:val="BodyText"/>
        <w:rPr>
          <w:sz w:val="23"/>
        </w:rPr>
      </w:pPr>
    </w:p>
    <w:p>
      <w:pPr>
        <w:pStyle w:val="ListParagraph"/>
        <w:numPr>
          <w:ilvl w:val="0"/>
          <w:numId w:val="80"/>
        </w:numPr>
        <w:tabs>
          <w:tab w:pos="948" w:val="left" w:leader="none"/>
        </w:tabs>
        <w:spacing w:line="240" w:lineRule="auto" w:before="0" w:after="0"/>
        <w:ind w:left="947" w:right="0" w:hanging="221"/>
        <w:jc w:val="both"/>
        <w:rPr>
          <w:sz w:val="20"/>
        </w:rPr>
      </w:pPr>
      <w:r>
        <w:rPr>
          <w:sz w:val="20"/>
        </w:rPr>
        <w:t>Komisyon, koruma düzeyinin yeterliliğini değerlendirirken, özellikle aşağıdaki hususları dikkate</w:t>
      </w:r>
      <w:r>
        <w:rPr>
          <w:spacing w:val="-27"/>
          <w:sz w:val="20"/>
        </w:rPr>
        <w:t> </w:t>
      </w:r>
      <w:r>
        <w:rPr>
          <w:sz w:val="20"/>
        </w:rPr>
        <w:t>alır:</w:t>
      </w:r>
    </w:p>
    <w:p>
      <w:pPr>
        <w:pStyle w:val="BodyText"/>
        <w:rPr>
          <w:sz w:val="27"/>
        </w:rPr>
      </w:pPr>
    </w:p>
    <w:p>
      <w:pPr>
        <w:pStyle w:val="ListParagraph"/>
        <w:numPr>
          <w:ilvl w:val="0"/>
          <w:numId w:val="81"/>
        </w:numPr>
        <w:tabs>
          <w:tab w:pos="1089" w:val="left" w:leader="none"/>
        </w:tabs>
        <w:spacing w:line="276" w:lineRule="auto" w:before="0" w:after="0"/>
        <w:ind w:left="1022" w:right="696" w:hanging="296"/>
        <w:jc w:val="both"/>
        <w:rPr>
          <w:sz w:val="20"/>
        </w:rPr>
      </w:pPr>
      <w:r>
        <w:rPr>
          <w:sz w:val="20"/>
        </w:rPr>
        <w:t>hukukun üstünlüğü, insan hakları ve temel özgürlüklere saygı, kamu güvenliği, savunma, milli güvenlik ve ceza hukuku ile kamu kuruluşlarının kişisel verilere erişimi de dahil olmak üzere hem genel hem de sektörel mevzuatın yanı sıra söz konusu mevzuatın uygulanması, bir ülke veya uluslararası kuruluşta toplanan kişisel verilerin başka bir üçüncü ülke veya uluslararası kuruluşa transit aktarımına yönelik kurallar da dahil olmak üzere veri koruma kuralları, mesleki kurallar ve güvenlik tedbirleri, içtihadın yanı sıra etkili ve uygulanabilir veri sahibi hakları ile kişisel verileri aktarılmakta olan veri sahiplerine yönelik etkili idari ve adli</w:t>
      </w:r>
      <w:r>
        <w:rPr>
          <w:spacing w:val="-6"/>
          <w:sz w:val="20"/>
        </w:rPr>
        <w:t> </w:t>
      </w:r>
      <w:r>
        <w:rPr>
          <w:sz w:val="20"/>
        </w:rPr>
        <w:t>tazmin;</w:t>
      </w:r>
    </w:p>
    <w:p>
      <w:pPr>
        <w:pStyle w:val="BodyText"/>
        <w:spacing w:before="4"/>
        <w:rPr>
          <w:sz w:val="24"/>
        </w:rPr>
      </w:pPr>
    </w:p>
    <w:p>
      <w:pPr>
        <w:pStyle w:val="ListParagraph"/>
        <w:numPr>
          <w:ilvl w:val="0"/>
          <w:numId w:val="81"/>
        </w:numPr>
        <w:tabs>
          <w:tab w:pos="1032" w:val="left" w:leader="none"/>
        </w:tabs>
        <w:spacing w:line="276" w:lineRule="auto" w:before="0" w:after="0"/>
        <w:ind w:left="1022" w:right="693" w:hanging="296"/>
        <w:jc w:val="both"/>
        <w:rPr>
          <w:sz w:val="20"/>
        </w:rPr>
      </w:pPr>
      <w:r>
        <w:rPr>
          <w:sz w:val="20"/>
        </w:rPr>
        <w:t>üçüncü ülkede bulunan veya bir uluslararası kuruluşun tabi olduğu ve yeterli uygulatma yetkileri dahil olmak üzere veri koruma kurallarına uyumluluk sağlanması ve sağlatılması, haklarının kullanımı hususunda veri sahiplerine destek olunması ve tavsiyede bulunulması ve üye devletlerin denetim makamları ile işbirliği yapılmasından sorumlu olan bir veya daha fazla sayıda bağımsız denetim makamının varlığı ve etkili bir şekilde işlev göstermesi</w:t>
      </w:r>
      <w:r>
        <w:rPr>
          <w:spacing w:val="-3"/>
          <w:sz w:val="20"/>
        </w:rPr>
        <w:t> </w:t>
      </w:r>
      <w:r>
        <w:rPr>
          <w:sz w:val="20"/>
        </w:rPr>
        <w:t>ve</w:t>
      </w:r>
    </w:p>
    <w:p>
      <w:pPr>
        <w:pStyle w:val="BodyText"/>
        <w:rPr>
          <w:sz w:val="24"/>
        </w:rPr>
      </w:pPr>
    </w:p>
    <w:p>
      <w:pPr>
        <w:pStyle w:val="ListParagraph"/>
        <w:numPr>
          <w:ilvl w:val="0"/>
          <w:numId w:val="81"/>
        </w:numPr>
        <w:tabs>
          <w:tab w:pos="1091" w:val="left" w:leader="none"/>
        </w:tabs>
        <w:spacing w:line="276" w:lineRule="auto" w:before="0" w:after="0"/>
        <w:ind w:left="1022" w:right="690" w:hanging="296"/>
        <w:jc w:val="both"/>
        <w:rPr>
          <w:sz w:val="20"/>
        </w:rPr>
      </w:pPr>
      <w:r>
        <w:rPr>
          <w:sz w:val="20"/>
        </w:rPr>
        <w:t>ilgili üçüncü ülke veya uluslararası kuruluşun altına girdiği uluslararası taahhütler veya yasal bağlayıcılığı olan sözleşmeler veya belgelerin yanı sıra kişisel verilerin korunması ile ilgili olanlar başta</w:t>
      </w:r>
      <w:r>
        <w:rPr>
          <w:spacing w:val="-7"/>
          <w:sz w:val="20"/>
        </w:rPr>
        <w:t> </w:t>
      </w:r>
      <w:r>
        <w:rPr>
          <w:sz w:val="20"/>
        </w:rPr>
        <w:t>olmak</w:t>
      </w:r>
      <w:r>
        <w:rPr>
          <w:spacing w:val="-3"/>
          <w:sz w:val="20"/>
        </w:rPr>
        <w:t> </w:t>
      </w:r>
      <w:r>
        <w:rPr>
          <w:sz w:val="20"/>
        </w:rPr>
        <w:t>üzere</w:t>
      </w:r>
      <w:r>
        <w:rPr>
          <w:spacing w:val="-7"/>
          <w:sz w:val="20"/>
        </w:rPr>
        <w:t> </w:t>
      </w:r>
      <w:r>
        <w:rPr>
          <w:sz w:val="20"/>
        </w:rPr>
        <w:t>çok</w:t>
      </w:r>
      <w:r>
        <w:rPr>
          <w:spacing w:val="-4"/>
          <w:sz w:val="20"/>
        </w:rPr>
        <w:t> </w:t>
      </w:r>
      <w:r>
        <w:rPr>
          <w:sz w:val="20"/>
        </w:rPr>
        <w:t>taraflı</w:t>
      </w:r>
      <w:r>
        <w:rPr>
          <w:spacing w:val="-7"/>
          <w:sz w:val="20"/>
        </w:rPr>
        <w:t> </w:t>
      </w:r>
      <w:r>
        <w:rPr>
          <w:sz w:val="20"/>
        </w:rPr>
        <w:t>veya</w:t>
      </w:r>
      <w:r>
        <w:rPr>
          <w:spacing w:val="-5"/>
          <w:sz w:val="20"/>
        </w:rPr>
        <w:t> </w:t>
      </w:r>
      <w:r>
        <w:rPr>
          <w:sz w:val="20"/>
        </w:rPr>
        <w:t>bölgesel</w:t>
      </w:r>
      <w:r>
        <w:rPr>
          <w:spacing w:val="-7"/>
          <w:sz w:val="20"/>
        </w:rPr>
        <w:t> </w:t>
      </w:r>
      <w:r>
        <w:rPr>
          <w:sz w:val="20"/>
        </w:rPr>
        <w:t>sistemlere</w:t>
      </w:r>
      <w:r>
        <w:rPr>
          <w:spacing w:val="-4"/>
          <w:sz w:val="20"/>
        </w:rPr>
        <w:t> </w:t>
      </w:r>
      <w:r>
        <w:rPr>
          <w:sz w:val="20"/>
        </w:rPr>
        <w:t>katılımından</w:t>
      </w:r>
      <w:r>
        <w:rPr>
          <w:spacing w:val="-7"/>
          <w:sz w:val="20"/>
        </w:rPr>
        <w:t> </w:t>
      </w:r>
      <w:r>
        <w:rPr>
          <w:sz w:val="20"/>
        </w:rPr>
        <w:t>kaynaklanan</w:t>
      </w:r>
      <w:r>
        <w:rPr>
          <w:spacing w:val="-6"/>
          <w:sz w:val="20"/>
        </w:rPr>
        <w:t> </w:t>
      </w:r>
      <w:r>
        <w:rPr>
          <w:sz w:val="20"/>
        </w:rPr>
        <w:t>diğer</w:t>
      </w:r>
      <w:r>
        <w:rPr>
          <w:spacing w:val="-4"/>
          <w:sz w:val="20"/>
        </w:rPr>
        <w:t> </w:t>
      </w:r>
      <w:r>
        <w:rPr>
          <w:sz w:val="20"/>
        </w:rPr>
        <w:t>yükümlülükler.</w:t>
      </w:r>
    </w:p>
    <w:p>
      <w:pPr>
        <w:pStyle w:val="BodyText"/>
        <w:spacing w:before="1"/>
        <w:rPr>
          <w:sz w:val="24"/>
        </w:rPr>
      </w:pPr>
    </w:p>
    <w:p>
      <w:pPr>
        <w:pStyle w:val="ListParagraph"/>
        <w:numPr>
          <w:ilvl w:val="0"/>
          <w:numId w:val="80"/>
        </w:numPr>
        <w:tabs>
          <w:tab w:pos="970" w:val="left" w:leader="none"/>
        </w:tabs>
        <w:spacing w:line="276" w:lineRule="auto" w:before="0" w:after="0"/>
        <w:ind w:left="726" w:right="698" w:firstLine="0"/>
        <w:jc w:val="both"/>
        <w:rPr>
          <w:sz w:val="20"/>
        </w:rPr>
      </w:pPr>
      <w:r>
        <w:rPr>
          <w:sz w:val="20"/>
        </w:rPr>
        <w:t>Komisyon, koruma düzeyinin yeterliliğini değerlendirdikten sonra, uygulama tasarrufu vasıtasıyla, bir üçüncü ülke, söz konusu ülke içerisindeki bir bölge veya bir ya da daha fazla sayıda sektörün veya uluslararası</w:t>
      </w:r>
      <w:r>
        <w:rPr>
          <w:spacing w:val="-5"/>
          <w:sz w:val="20"/>
        </w:rPr>
        <w:t> </w:t>
      </w:r>
      <w:r>
        <w:rPr>
          <w:sz w:val="20"/>
        </w:rPr>
        <w:t>bir</w:t>
      </w:r>
      <w:r>
        <w:rPr>
          <w:spacing w:val="-4"/>
          <w:sz w:val="20"/>
        </w:rPr>
        <w:t> </w:t>
      </w:r>
      <w:r>
        <w:rPr>
          <w:sz w:val="20"/>
        </w:rPr>
        <w:t>kuruluşun</w:t>
      </w:r>
      <w:r>
        <w:rPr>
          <w:spacing w:val="-4"/>
          <w:sz w:val="20"/>
        </w:rPr>
        <w:t> </w:t>
      </w:r>
      <w:r>
        <w:rPr>
          <w:sz w:val="20"/>
        </w:rPr>
        <w:t>bu</w:t>
      </w:r>
      <w:r>
        <w:rPr>
          <w:spacing w:val="-5"/>
          <w:sz w:val="20"/>
        </w:rPr>
        <w:t> </w:t>
      </w:r>
      <w:r>
        <w:rPr>
          <w:sz w:val="20"/>
        </w:rPr>
        <w:t>maddenin</w:t>
      </w:r>
      <w:r>
        <w:rPr>
          <w:spacing w:val="-5"/>
          <w:sz w:val="20"/>
        </w:rPr>
        <w:t> </w:t>
      </w:r>
      <w:r>
        <w:rPr>
          <w:sz w:val="20"/>
        </w:rPr>
        <w:t>2.</w:t>
      </w:r>
      <w:r>
        <w:rPr>
          <w:spacing w:val="-3"/>
          <w:sz w:val="20"/>
        </w:rPr>
        <w:t> </w:t>
      </w:r>
      <w:r>
        <w:rPr>
          <w:sz w:val="20"/>
        </w:rPr>
        <w:t>paragrafı</w:t>
      </w:r>
      <w:r>
        <w:rPr>
          <w:spacing w:val="-5"/>
          <w:sz w:val="20"/>
        </w:rPr>
        <w:t> </w:t>
      </w:r>
      <w:r>
        <w:rPr>
          <w:sz w:val="20"/>
        </w:rPr>
        <w:t>bağlamında</w:t>
      </w:r>
      <w:r>
        <w:rPr>
          <w:spacing w:val="-1"/>
          <w:sz w:val="20"/>
        </w:rPr>
        <w:t> </w:t>
      </w:r>
      <w:r>
        <w:rPr>
          <w:sz w:val="20"/>
        </w:rPr>
        <w:t>yeterli</w:t>
      </w:r>
      <w:r>
        <w:rPr>
          <w:spacing w:val="-4"/>
          <w:sz w:val="20"/>
        </w:rPr>
        <w:t> </w:t>
      </w:r>
      <w:r>
        <w:rPr>
          <w:sz w:val="20"/>
        </w:rPr>
        <w:t>bir</w:t>
      </w:r>
      <w:r>
        <w:rPr>
          <w:spacing w:val="-4"/>
          <w:sz w:val="20"/>
        </w:rPr>
        <w:t> </w:t>
      </w:r>
      <w:r>
        <w:rPr>
          <w:sz w:val="20"/>
        </w:rPr>
        <w:t>koruma</w:t>
      </w:r>
      <w:r>
        <w:rPr>
          <w:spacing w:val="-7"/>
          <w:sz w:val="20"/>
        </w:rPr>
        <w:t> </w:t>
      </w:r>
      <w:r>
        <w:rPr>
          <w:sz w:val="20"/>
        </w:rPr>
        <w:t>düzeyi</w:t>
      </w:r>
      <w:r>
        <w:rPr>
          <w:spacing w:val="-6"/>
          <w:sz w:val="20"/>
        </w:rPr>
        <w:t> </w:t>
      </w:r>
      <w:r>
        <w:rPr>
          <w:sz w:val="20"/>
        </w:rPr>
        <w:t>sağladığına</w:t>
      </w:r>
    </w:p>
    <w:p>
      <w:pPr>
        <w:spacing w:after="0" w:line="276" w:lineRule="auto"/>
        <w:jc w:val="both"/>
        <w:rPr>
          <w:sz w:val="20"/>
        </w:rPr>
        <w:sectPr>
          <w:pgSz w:w="11930" w:h="16850"/>
          <w:pgMar w:header="961" w:footer="0" w:top="1240" w:bottom="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line="276" w:lineRule="auto" w:before="66"/>
        <w:ind w:left="726" w:right="690"/>
        <w:jc w:val="both"/>
      </w:pPr>
      <w:r>
        <w:rPr/>
        <w:t>karar verebilir. Uygulama tasarrufunda en az dört yılda bir gerçekleştirilen ve üçüncü ülke veya uluslararası kuruluştaki ilgili tüm gelişmelerin dikkate alındığı düzenli bir gözden geçirme mekanizması sağlanır. Uygulama tasarrufunda bu mekanizmanın bölgesel ve sektörel uygulaması belirtilir ve, uygun olduğu hallerde, bu maddenin 2. paragrafının (b) bendinde atıfta bulunulan denetim makamı veya makamları tanımlanır. Bu uygulama tasarrufu 93(2) maddesinde atıfta bulunulan inceleme usulü uyarınca kabul</w:t>
      </w:r>
      <w:r>
        <w:rPr>
          <w:spacing w:val="-2"/>
        </w:rPr>
        <w:t> </w:t>
      </w:r>
      <w:r>
        <w:rPr/>
        <w:t>edilir.</w:t>
      </w:r>
    </w:p>
    <w:p>
      <w:pPr>
        <w:pStyle w:val="BodyText"/>
        <w:spacing w:before="2"/>
        <w:rPr>
          <w:sz w:val="23"/>
        </w:rPr>
      </w:pPr>
    </w:p>
    <w:p>
      <w:pPr>
        <w:pStyle w:val="ListParagraph"/>
        <w:numPr>
          <w:ilvl w:val="0"/>
          <w:numId w:val="80"/>
        </w:numPr>
        <w:tabs>
          <w:tab w:pos="1140" w:val="left" w:leader="none"/>
        </w:tabs>
        <w:spacing w:line="276" w:lineRule="auto" w:before="0" w:after="0"/>
        <w:ind w:left="726" w:right="688" w:firstLine="0"/>
        <w:jc w:val="both"/>
        <w:rPr>
          <w:sz w:val="20"/>
        </w:rPr>
      </w:pPr>
      <w:r>
        <w:rPr>
          <w:sz w:val="20"/>
        </w:rPr>
        <w:t>Komisyon, üçüncü ülkeler ve uluslararası kuruluşlarda meydana gelen ve bu maddenin 3. fıkrası uyarınca kabul edilen kararların ve 95/46/AT sayılı Direktif’in 25(6) maddesine dayalı olarak kabul edilen kararların işleyişini etkileyebilecek olan gelişmeleri sürekli olarak</w:t>
      </w:r>
      <w:r>
        <w:rPr>
          <w:spacing w:val="-7"/>
          <w:sz w:val="20"/>
        </w:rPr>
        <w:t> </w:t>
      </w:r>
      <w:r>
        <w:rPr>
          <w:sz w:val="20"/>
        </w:rPr>
        <w:t>izler.</w:t>
      </w:r>
    </w:p>
    <w:p>
      <w:pPr>
        <w:pStyle w:val="BodyText"/>
        <w:spacing w:before="10"/>
        <w:rPr>
          <w:sz w:val="22"/>
        </w:rPr>
      </w:pPr>
    </w:p>
    <w:p>
      <w:pPr>
        <w:pStyle w:val="ListParagraph"/>
        <w:numPr>
          <w:ilvl w:val="0"/>
          <w:numId w:val="80"/>
        </w:numPr>
        <w:tabs>
          <w:tab w:pos="958" w:val="left" w:leader="none"/>
        </w:tabs>
        <w:spacing w:line="276" w:lineRule="auto" w:before="0" w:after="0"/>
        <w:ind w:left="726" w:right="689" w:firstLine="0"/>
        <w:jc w:val="both"/>
        <w:rPr>
          <w:sz w:val="20"/>
        </w:rPr>
      </w:pPr>
      <w:r>
        <w:rPr>
          <w:sz w:val="20"/>
        </w:rPr>
        <w:t>Özellikle bu maddenin 3. paragrafında atıfta bulunulan gözden geçirmenin ardından, mevcut bilgilerin üçüncü bir ülke, bu ülke içerisindeki bir bölge veya bir ya da daha fazla sayıda sektörün veya bir uluslararası kuruluşun bu maddenin 2. paragrafı bağlamında artık yeterli bir koruma düzeyi sağlamadığını göstermesi durumunda, Komisyon geriye dönük etkisi olmayan uygulama tasarrufları vasıtasıyla bu maddenin 3. paragrafında atıfta bulunulan kararı gereken ölçüde yürürlükten kaldırır, değiştirir veya askıya alır. Bu uygulama tasarrufları 93(2) maddesinde atıfta bulunulan inceleme usulü uyarınca kabul</w:t>
      </w:r>
      <w:r>
        <w:rPr>
          <w:spacing w:val="-2"/>
          <w:sz w:val="20"/>
        </w:rPr>
        <w:t> </w:t>
      </w:r>
      <w:r>
        <w:rPr>
          <w:sz w:val="20"/>
        </w:rPr>
        <w:t>edilir.</w:t>
      </w:r>
    </w:p>
    <w:p>
      <w:pPr>
        <w:pStyle w:val="BodyText"/>
        <w:spacing w:before="1"/>
        <w:rPr>
          <w:sz w:val="23"/>
        </w:rPr>
      </w:pPr>
    </w:p>
    <w:p>
      <w:pPr>
        <w:pStyle w:val="BodyText"/>
        <w:spacing w:line="276" w:lineRule="auto"/>
        <w:ind w:left="726" w:right="702"/>
        <w:jc w:val="both"/>
      </w:pPr>
      <w:r>
        <w:rPr/>
        <w:t>Usulüne uygun şekilde gerekçelendirilmiş zorunlu acil nedenlerle, Komisyon 93(3) maddesinde atıfta bulunulan usul uyarınca uygulanabilir uygulama tasarruflarını gecikmeksizin kabul eder.</w:t>
      </w:r>
    </w:p>
    <w:p>
      <w:pPr>
        <w:pStyle w:val="BodyText"/>
        <w:spacing w:before="1"/>
        <w:rPr>
          <w:sz w:val="23"/>
        </w:rPr>
      </w:pPr>
    </w:p>
    <w:p>
      <w:pPr>
        <w:pStyle w:val="ListParagraph"/>
        <w:numPr>
          <w:ilvl w:val="0"/>
          <w:numId w:val="80"/>
        </w:numPr>
        <w:tabs>
          <w:tab w:pos="953" w:val="left" w:leader="none"/>
        </w:tabs>
        <w:spacing w:line="276" w:lineRule="auto" w:before="0" w:after="0"/>
        <w:ind w:left="726" w:right="700" w:firstLine="0"/>
        <w:jc w:val="both"/>
        <w:rPr>
          <w:sz w:val="20"/>
        </w:rPr>
      </w:pPr>
      <w:r>
        <w:rPr>
          <w:sz w:val="20"/>
        </w:rPr>
        <w:t>Komisyon, 5. paragraf uyarınca verilen karara sebebiyet veren durumun düzeltilmesi amacı ile üçüncü ülke veya uluslararası kuruluşla istişarelere</w:t>
      </w:r>
      <w:r>
        <w:rPr>
          <w:spacing w:val="-4"/>
          <w:sz w:val="20"/>
        </w:rPr>
        <w:t> </w:t>
      </w:r>
      <w:r>
        <w:rPr>
          <w:sz w:val="20"/>
        </w:rPr>
        <w:t>başlar.</w:t>
      </w:r>
    </w:p>
    <w:p>
      <w:pPr>
        <w:pStyle w:val="BodyText"/>
        <w:spacing w:before="11"/>
        <w:rPr>
          <w:sz w:val="22"/>
        </w:rPr>
      </w:pPr>
    </w:p>
    <w:p>
      <w:pPr>
        <w:pStyle w:val="ListParagraph"/>
        <w:numPr>
          <w:ilvl w:val="0"/>
          <w:numId w:val="80"/>
        </w:numPr>
        <w:tabs>
          <w:tab w:pos="1140" w:val="left" w:leader="none"/>
        </w:tabs>
        <w:spacing w:line="276" w:lineRule="auto" w:before="0" w:after="0"/>
        <w:ind w:left="726" w:right="697" w:firstLine="0"/>
        <w:jc w:val="both"/>
        <w:rPr>
          <w:sz w:val="20"/>
        </w:rPr>
      </w:pPr>
      <w:r>
        <w:rPr>
          <w:sz w:val="20"/>
        </w:rPr>
        <w:t>Bu maddenin 5. paragrafı uyarınca verilen bir karar ile üçüncü ülke veya söz konusu üçüncü ülke dahilindeki bir bölge veya bir ya da daha fazla sayıda sektör </w:t>
      </w:r>
      <w:r>
        <w:rPr>
          <w:spacing w:val="-3"/>
          <w:sz w:val="20"/>
        </w:rPr>
        <w:t>ya </w:t>
      </w:r>
      <w:r>
        <w:rPr>
          <w:sz w:val="20"/>
        </w:rPr>
        <w:t>da söz konusu uluslararası kuruluşa ilişkin kişisel verilerin 46 ila 49. maddeler uyarınca aktarılmasına halel</w:t>
      </w:r>
      <w:r>
        <w:rPr>
          <w:spacing w:val="-17"/>
          <w:sz w:val="20"/>
        </w:rPr>
        <w:t> </w:t>
      </w:r>
      <w:r>
        <w:rPr>
          <w:sz w:val="20"/>
        </w:rPr>
        <w:t>gelmez.</w:t>
      </w:r>
    </w:p>
    <w:p>
      <w:pPr>
        <w:pStyle w:val="BodyText"/>
        <w:rPr>
          <w:sz w:val="23"/>
        </w:rPr>
      </w:pPr>
    </w:p>
    <w:p>
      <w:pPr>
        <w:pStyle w:val="ListParagraph"/>
        <w:numPr>
          <w:ilvl w:val="0"/>
          <w:numId w:val="80"/>
        </w:numPr>
        <w:tabs>
          <w:tab w:pos="1140" w:val="left" w:leader="none"/>
        </w:tabs>
        <w:spacing w:line="276" w:lineRule="auto" w:before="0" w:after="0"/>
        <w:ind w:left="726" w:right="693" w:firstLine="0"/>
        <w:jc w:val="both"/>
        <w:rPr>
          <w:sz w:val="20"/>
        </w:rPr>
      </w:pPr>
      <w:r>
        <w:rPr>
          <w:sz w:val="20"/>
        </w:rPr>
        <w:t>Komisyon yeterli düzeyde bir korumanın sağlandığı veya artık sağlanmadığına karar verdiği üçüncü ülkeler, bir üçüncü ülke içerisindeki bölgeler ve sektörler ile uluslararası kuruluşları Avrupa Birliği Resmi Gazetesi ve web sitesinde</w:t>
      </w:r>
      <w:r>
        <w:rPr>
          <w:spacing w:val="-2"/>
          <w:sz w:val="20"/>
        </w:rPr>
        <w:t> </w:t>
      </w:r>
      <w:r>
        <w:rPr>
          <w:sz w:val="20"/>
        </w:rPr>
        <w:t>yayımlar.</w:t>
      </w:r>
    </w:p>
    <w:p>
      <w:pPr>
        <w:pStyle w:val="BodyText"/>
        <w:spacing w:before="3"/>
        <w:rPr>
          <w:sz w:val="27"/>
        </w:rPr>
      </w:pPr>
    </w:p>
    <w:p>
      <w:pPr>
        <w:pStyle w:val="ListParagraph"/>
        <w:numPr>
          <w:ilvl w:val="0"/>
          <w:numId w:val="80"/>
        </w:numPr>
        <w:tabs>
          <w:tab w:pos="951" w:val="left" w:leader="none"/>
        </w:tabs>
        <w:spacing w:line="276" w:lineRule="auto" w:before="0" w:after="0"/>
        <w:ind w:left="726" w:right="692" w:firstLine="0"/>
        <w:jc w:val="both"/>
        <w:rPr>
          <w:sz w:val="20"/>
        </w:rPr>
      </w:pPr>
      <w:r>
        <w:rPr>
          <w:sz w:val="20"/>
        </w:rPr>
        <w:t>95/46/AT sayılı Direktif’in 25(6) maddesine dayalı olarak Komisyon tarafından kabul edilen kararlar, bu maddenin 3 veya 5. paragrafı uyarınca kabul edilen bir Komisyon Kararı ile değiştirilene, yenilenene veya yürürlükten kaldırılana kadar yürürlükte</w:t>
      </w:r>
      <w:r>
        <w:rPr>
          <w:spacing w:val="1"/>
          <w:sz w:val="20"/>
        </w:rPr>
        <w:t> </w:t>
      </w:r>
      <w:r>
        <w:rPr>
          <w:sz w:val="20"/>
        </w:rPr>
        <w:t>kalır.</w:t>
      </w:r>
    </w:p>
    <w:p>
      <w:pPr>
        <w:pStyle w:val="BodyText"/>
        <w:spacing w:before="4"/>
        <w:rPr>
          <w:sz w:val="24"/>
        </w:rPr>
      </w:pPr>
    </w:p>
    <w:p>
      <w:pPr>
        <w:pStyle w:val="BodyText"/>
        <w:spacing w:line="276" w:lineRule="auto"/>
        <w:ind w:left="5035" w:right="5053"/>
        <w:jc w:val="center"/>
      </w:pPr>
      <w:r>
        <w:rPr/>
        <w:t>Madde 46</w:t>
      </w:r>
    </w:p>
    <w:p>
      <w:pPr>
        <w:pStyle w:val="BodyText"/>
        <w:rPr>
          <w:sz w:val="22"/>
        </w:rPr>
      </w:pPr>
    </w:p>
    <w:p>
      <w:pPr>
        <w:pStyle w:val="BodyText"/>
        <w:spacing w:before="5"/>
        <w:rPr>
          <w:sz w:val="24"/>
        </w:rPr>
      </w:pPr>
    </w:p>
    <w:p>
      <w:pPr>
        <w:pStyle w:val="Heading1"/>
        <w:spacing w:line="276" w:lineRule="auto"/>
        <w:ind w:left="3717" w:right="3738"/>
      </w:pPr>
      <w:r>
        <w:rPr/>
        <w:t>Uygun güvencelere tabi olarak yapılan aktarımlar</w:t>
      </w:r>
    </w:p>
    <w:p>
      <w:pPr>
        <w:pStyle w:val="BodyText"/>
        <w:rPr>
          <w:b/>
          <w:sz w:val="22"/>
        </w:rPr>
      </w:pPr>
    </w:p>
    <w:p>
      <w:pPr>
        <w:pStyle w:val="BodyText"/>
        <w:spacing w:before="5"/>
        <w:rPr>
          <w:b/>
          <w:sz w:val="24"/>
        </w:rPr>
      </w:pPr>
    </w:p>
    <w:p>
      <w:pPr>
        <w:pStyle w:val="ListParagraph"/>
        <w:numPr>
          <w:ilvl w:val="0"/>
          <w:numId w:val="82"/>
        </w:numPr>
        <w:tabs>
          <w:tab w:pos="963" w:val="left" w:leader="none"/>
        </w:tabs>
        <w:spacing w:line="276" w:lineRule="auto" w:before="0" w:after="0"/>
        <w:ind w:left="726" w:right="696" w:firstLine="0"/>
        <w:jc w:val="both"/>
        <w:rPr>
          <w:sz w:val="20"/>
        </w:rPr>
      </w:pPr>
      <w:r>
        <w:rPr>
          <w:sz w:val="20"/>
        </w:rPr>
        <w:t>45(3) maddesi uyarınca alınan bir karar olmaması halinde, ancak bir kontrolör veya işleyicinin uygun güvenceler sağlamış olması halinde ve uygulanabilir veri sahibi hakları ve veri sahiplerine yönelik etkili kanun yollarının mevcut olması koşuluyla, söz konusu kontrolör veya işleyici bir üçüncü ülke veya uluslararası bir kuruluşa kişisel veri</w:t>
      </w:r>
      <w:r>
        <w:rPr>
          <w:spacing w:val="-3"/>
          <w:sz w:val="20"/>
        </w:rPr>
        <w:t> </w:t>
      </w:r>
      <w:r>
        <w:rPr>
          <w:sz w:val="20"/>
        </w:rPr>
        <w:t>aktarabilir.</w:t>
      </w:r>
    </w:p>
    <w:p>
      <w:pPr>
        <w:pStyle w:val="BodyText"/>
        <w:spacing w:before="3"/>
        <w:rPr>
          <w:sz w:val="23"/>
        </w:rPr>
      </w:pPr>
    </w:p>
    <w:p>
      <w:pPr>
        <w:pStyle w:val="ListParagraph"/>
        <w:numPr>
          <w:ilvl w:val="0"/>
          <w:numId w:val="82"/>
        </w:numPr>
        <w:tabs>
          <w:tab w:pos="951" w:val="left" w:leader="none"/>
        </w:tabs>
        <w:spacing w:line="276" w:lineRule="auto" w:before="0" w:after="0"/>
        <w:ind w:left="726" w:right="698" w:firstLine="0"/>
        <w:jc w:val="both"/>
        <w:rPr>
          <w:sz w:val="20"/>
        </w:rPr>
      </w:pPr>
      <w:r>
        <w:rPr>
          <w:sz w:val="20"/>
        </w:rPr>
        <w:t>1. paragrafta atıfta bulunulan uygun güvenceler, bir denetim makamından spesifik bir onay alınmasına gerek olmaksızın, aşağıdakilerle sağlanabilir:</w:t>
      </w:r>
    </w:p>
    <w:p>
      <w:pPr>
        <w:pStyle w:val="BodyText"/>
        <w:spacing w:before="4"/>
        <w:rPr>
          <w:sz w:val="29"/>
        </w:rPr>
      </w:pPr>
    </w:p>
    <w:p>
      <w:pPr>
        <w:pStyle w:val="ListParagraph"/>
        <w:numPr>
          <w:ilvl w:val="0"/>
          <w:numId w:val="83"/>
        </w:numPr>
        <w:tabs>
          <w:tab w:pos="1027" w:val="left" w:leader="none"/>
        </w:tabs>
        <w:spacing w:line="240" w:lineRule="auto" w:before="0" w:after="0"/>
        <w:ind w:left="1022" w:right="0" w:hanging="296"/>
        <w:jc w:val="both"/>
        <w:rPr>
          <w:sz w:val="20"/>
        </w:rPr>
      </w:pPr>
      <w:r>
        <w:rPr>
          <w:sz w:val="20"/>
        </w:rPr>
        <w:t>kamu kuruluşları veya organları arasında yasal bağlayıcılığı bulunan ve uygulanabilir bir</w:t>
      </w:r>
      <w:r>
        <w:rPr>
          <w:spacing w:val="-22"/>
          <w:sz w:val="20"/>
        </w:rPr>
        <w:t> </w:t>
      </w:r>
      <w:r>
        <w:rPr>
          <w:sz w:val="20"/>
        </w:rPr>
        <w:t>belge;</w:t>
      </w:r>
    </w:p>
    <w:p>
      <w:pPr>
        <w:pStyle w:val="ListParagraph"/>
        <w:numPr>
          <w:ilvl w:val="0"/>
          <w:numId w:val="83"/>
        </w:numPr>
        <w:tabs>
          <w:tab w:pos="1027" w:val="left" w:leader="none"/>
        </w:tabs>
        <w:spacing w:line="240" w:lineRule="auto" w:before="106" w:after="0"/>
        <w:ind w:left="1026" w:right="0" w:hanging="300"/>
        <w:jc w:val="both"/>
        <w:rPr>
          <w:sz w:val="20"/>
        </w:rPr>
      </w:pPr>
      <w:r>
        <w:rPr>
          <w:sz w:val="20"/>
        </w:rPr>
        <w:t>47. madde uyarınca bağlayıcı kurumsal</w:t>
      </w:r>
      <w:r>
        <w:rPr>
          <w:spacing w:val="-10"/>
          <w:sz w:val="20"/>
        </w:rPr>
        <w:t> </w:t>
      </w:r>
      <w:r>
        <w:rPr>
          <w:sz w:val="20"/>
        </w:rPr>
        <w:t>kurallar;</w:t>
      </w:r>
    </w:p>
    <w:p>
      <w:pPr>
        <w:spacing w:after="0" w:line="240"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83"/>
        </w:numPr>
        <w:tabs>
          <w:tab w:pos="1084" w:val="left" w:leader="none"/>
        </w:tabs>
        <w:spacing w:line="276" w:lineRule="auto" w:before="66" w:after="0"/>
        <w:ind w:left="1022" w:right="702" w:hanging="296"/>
        <w:jc w:val="both"/>
        <w:rPr>
          <w:sz w:val="20"/>
        </w:rPr>
      </w:pPr>
      <w:r>
        <w:rPr>
          <w:sz w:val="20"/>
        </w:rPr>
        <w:t>93(2) maddesinde atıfta bulunulan inceleme usulü uyarınca Komisyon tarafından kabul edilen standart veri koruma</w:t>
      </w:r>
      <w:r>
        <w:rPr>
          <w:spacing w:val="-2"/>
          <w:sz w:val="20"/>
        </w:rPr>
        <w:t> </w:t>
      </w:r>
      <w:r>
        <w:rPr>
          <w:sz w:val="20"/>
        </w:rPr>
        <w:t>şartları;</w:t>
      </w:r>
    </w:p>
    <w:p>
      <w:pPr>
        <w:pStyle w:val="BodyText"/>
        <w:rPr>
          <w:sz w:val="24"/>
        </w:rPr>
      </w:pPr>
    </w:p>
    <w:p>
      <w:pPr>
        <w:pStyle w:val="ListParagraph"/>
        <w:numPr>
          <w:ilvl w:val="0"/>
          <w:numId w:val="83"/>
        </w:numPr>
        <w:tabs>
          <w:tab w:pos="1063" w:val="left" w:leader="none"/>
        </w:tabs>
        <w:spacing w:line="276" w:lineRule="auto" w:before="0" w:after="0"/>
        <w:ind w:left="1022" w:right="699" w:hanging="296"/>
        <w:jc w:val="both"/>
        <w:rPr>
          <w:sz w:val="20"/>
        </w:rPr>
      </w:pPr>
      <w:r>
        <w:rPr>
          <w:sz w:val="20"/>
        </w:rPr>
        <w:t>93(2) maddesinde atıfta bulunulan inceleme usulü uyarınca bir denetim makamı tarafından kabul edilen ve Komisyon tarafından onaylanan standart veri koruma</w:t>
      </w:r>
      <w:r>
        <w:rPr>
          <w:spacing w:val="-9"/>
          <w:sz w:val="20"/>
        </w:rPr>
        <w:t> </w:t>
      </w:r>
      <w:r>
        <w:rPr>
          <w:sz w:val="20"/>
        </w:rPr>
        <w:t>şartları;</w:t>
      </w:r>
    </w:p>
    <w:p>
      <w:pPr>
        <w:pStyle w:val="BodyText"/>
        <w:spacing w:before="10"/>
        <w:rPr>
          <w:sz w:val="23"/>
        </w:rPr>
      </w:pPr>
    </w:p>
    <w:p>
      <w:pPr>
        <w:pStyle w:val="ListParagraph"/>
        <w:numPr>
          <w:ilvl w:val="0"/>
          <w:numId w:val="83"/>
        </w:numPr>
        <w:tabs>
          <w:tab w:pos="1032" w:val="left" w:leader="none"/>
        </w:tabs>
        <w:spacing w:line="276" w:lineRule="auto" w:before="0" w:after="0"/>
        <w:ind w:left="1022" w:right="693" w:hanging="296"/>
        <w:jc w:val="both"/>
        <w:rPr>
          <w:sz w:val="20"/>
        </w:rPr>
      </w:pPr>
      <w:r>
        <w:rPr>
          <w:sz w:val="20"/>
        </w:rPr>
        <w:t>40. madde uyarınca onaylı davranış kuralları ile birlikte üçüncü ülkedeki kontrolör veya işleyicinin veri sahibinin hakları ile ilgili de olmak üzere uygun güvenceler uygulamaya ilişkin bağlayıcı ve uygulanabilir taahhütleri veya</w:t>
      </w:r>
    </w:p>
    <w:p>
      <w:pPr>
        <w:pStyle w:val="BodyText"/>
        <w:spacing w:before="10"/>
        <w:rPr>
          <w:sz w:val="23"/>
        </w:rPr>
      </w:pPr>
    </w:p>
    <w:p>
      <w:pPr>
        <w:pStyle w:val="ListParagraph"/>
        <w:numPr>
          <w:ilvl w:val="0"/>
          <w:numId w:val="83"/>
        </w:numPr>
        <w:tabs>
          <w:tab w:pos="986" w:val="left" w:leader="none"/>
        </w:tabs>
        <w:spacing w:line="276" w:lineRule="auto" w:before="0" w:after="0"/>
        <w:ind w:left="1022" w:right="690" w:hanging="296"/>
        <w:jc w:val="both"/>
        <w:rPr>
          <w:sz w:val="20"/>
        </w:rPr>
      </w:pPr>
      <w:r>
        <w:rPr>
          <w:sz w:val="20"/>
        </w:rPr>
        <w:t>42. madde uyarınca onaylı bir belgelendirme mekanizması ile birlikte üçüncü ülkedeki kontrolör veya işleyicinin veri sahibinin hakları ile ilgili de olmak üzere uygun güvenceler uygulamaya ilişkin bağlayıcı ve uygulanabilir taahhütleri.</w:t>
      </w:r>
    </w:p>
    <w:p>
      <w:pPr>
        <w:pStyle w:val="BodyText"/>
        <w:spacing w:before="1"/>
        <w:rPr>
          <w:sz w:val="23"/>
        </w:rPr>
      </w:pPr>
    </w:p>
    <w:p>
      <w:pPr>
        <w:pStyle w:val="ListParagraph"/>
        <w:numPr>
          <w:ilvl w:val="0"/>
          <w:numId w:val="82"/>
        </w:numPr>
        <w:tabs>
          <w:tab w:pos="1139" w:val="left" w:leader="none"/>
          <w:tab w:pos="1140" w:val="left" w:leader="none"/>
        </w:tabs>
        <w:spacing w:line="276" w:lineRule="auto" w:before="1" w:after="0"/>
        <w:ind w:left="726" w:right="701" w:firstLine="0"/>
        <w:jc w:val="left"/>
        <w:rPr>
          <w:sz w:val="20"/>
        </w:rPr>
      </w:pPr>
      <w:r>
        <w:rPr>
          <w:sz w:val="20"/>
        </w:rPr>
        <w:t>yetkin denetim makamından alınan yetkiye tabi olarak, 1. paragrafta atıfta bulunulan uygun güvenceler, öncelikle, aşağıdakilerle de</w:t>
      </w:r>
      <w:r>
        <w:rPr>
          <w:spacing w:val="-5"/>
          <w:sz w:val="20"/>
        </w:rPr>
        <w:t> </w:t>
      </w:r>
      <w:r>
        <w:rPr>
          <w:sz w:val="20"/>
        </w:rPr>
        <w:t>sağlanabilir:</w:t>
      </w:r>
    </w:p>
    <w:p>
      <w:pPr>
        <w:pStyle w:val="BodyText"/>
        <w:spacing w:before="7"/>
        <w:rPr>
          <w:sz w:val="23"/>
        </w:rPr>
      </w:pPr>
    </w:p>
    <w:p>
      <w:pPr>
        <w:pStyle w:val="ListParagraph"/>
        <w:numPr>
          <w:ilvl w:val="0"/>
          <w:numId w:val="84"/>
        </w:numPr>
        <w:tabs>
          <w:tab w:pos="1027" w:val="left" w:leader="none"/>
        </w:tabs>
        <w:spacing w:line="276" w:lineRule="auto" w:before="1" w:after="0"/>
        <w:ind w:left="1022" w:right="703" w:hanging="296"/>
        <w:jc w:val="both"/>
        <w:rPr>
          <w:sz w:val="20"/>
        </w:rPr>
      </w:pPr>
      <w:r>
        <w:rPr>
          <w:sz w:val="20"/>
        </w:rPr>
        <w:t>kontrolör veya işleyici ile üçüncü ülke ya da uluslararası kuruluştaki kişisel veri kontrolörü, işleyicisi ya da alıcısı arasındaki sözleşme maddeleri</w:t>
      </w:r>
      <w:r>
        <w:rPr>
          <w:spacing w:val="-10"/>
          <w:sz w:val="20"/>
        </w:rPr>
        <w:t> </w:t>
      </w:r>
      <w:r>
        <w:rPr>
          <w:sz w:val="20"/>
        </w:rPr>
        <w:t>veya</w:t>
      </w:r>
    </w:p>
    <w:p>
      <w:pPr>
        <w:pStyle w:val="BodyText"/>
        <w:spacing w:before="10"/>
        <w:rPr>
          <w:sz w:val="23"/>
        </w:rPr>
      </w:pPr>
    </w:p>
    <w:p>
      <w:pPr>
        <w:pStyle w:val="ListParagraph"/>
        <w:numPr>
          <w:ilvl w:val="0"/>
          <w:numId w:val="84"/>
        </w:numPr>
        <w:tabs>
          <w:tab w:pos="1029" w:val="left" w:leader="none"/>
        </w:tabs>
        <w:spacing w:line="276" w:lineRule="auto" w:before="0" w:after="0"/>
        <w:ind w:left="1022" w:right="697" w:hanging="296"/>
        <w:jc w:val="both"/>
        <w:rPr>
          <w:sz w:val="20"/>
        </w:rPr>
      </w:pPr>
      <w:r>
        <w:rPr>
          <w:sz w:val="20"/>
        </w:rPr>
        <w:t>kamu kuruluşları ya da organları arasındaki idari düzenlemelere eklenecek olan uygulanabilir ve etkili veri sahibi haklarını kapsayan</w:t>
      </w:r>
      <w:r>
        <w:rPr>
          <w:spacing w:val="-6"/>
          <w:sz w:val="20"/>
        </w:rPr>
        <w:t> </w:t>
      </w:r>
      <w:r>
        <w:rPr>
          <w:sz w:val="20"/>
        </w:rPr>
        <w:t>hükümler.</w:t>
      </w:r>
    </w:p>
    <w:p>
      <w:pPr>
        <w:pStyle w:val="BodyText"/>
        <w:spacing w:before="11"/>
        <w:rPr>
          <w:sz w:val="23"/>
        </w:rPr>
      </w:pPr>
    </w:p>
    <w:p>
      <w:pPr>
        <w:pStyle w:val="ListParagraph"/>
        <w:numPr>
          <w:ilvl w:val="0"/>
          <w:numId w:val="82"/>
        </w:numPr>
        <w:tabs>
          <w:tab w:pos="1139" w:val="left" w:leader="none"/>
          <w:tab w:pos="1140" w:val="left" w:leader="none"/>
        </w:tabs>
        <w:spacing w:line="276" w:lineRule="auto" w:before="0" w:after="0"/>
        <w:ind w:left="726" w:right="696" w:firstLine="0"/>
        <w:jc w:val="left"/>
        <w:rPr>
          <w:sz w:val="20"/>
        </w:rPr>
      </w:pPr>
      <w:r>
        <w:rPr>
          <w:sz w:val="20"/>
        </w:rPr>
        <w:t>Denetim makamı, bu maddenin 3. paragrafında atıfta bulunulan hallerde 63. maddede atıfta bulunulan tutarlılık mekanizmasını</w:t>
      </w:r>
      <w:r>
        <w:rPr>
          <w:spacing w:val="-1"/>
          <w:sz w:val="20"/>
        </w:rPr>
        <w:t> </w:t>
      </w:r>
      <w:r>
        <w:rPr>
          <w:sz w:val="20"/>
        </w:rPr>
        <w:t>uygular.</w:t>
      </w:r>
    </w:p>
    <w:p>
      <w:pPr>
        <w:pStyle w:val="BodyText"/>
        <w:rPr>
          <w:sz w:val="22"/>
        </w:rPr>
      </w:pPr>
    </w:p>
    <w:p>
      <w:pPr>
        <w:pStyle w:val="BodyText"/>
        <w:spacing w:before="5"/>
        <w:rPr>
          <w:sz w:val="24"/>
        </w:rPr>
      </w:pPr>
    </w:p>
    <w:p>
      <w:pPr>
        <w:pStyle w:val="ListParagraph"/>
        <w:numPr>
          <w:ilvl w:val="0"/>
          <w:numId w:val="82"/>
        </w:numPr>
        <w:tabs>
          <w:tab w:pos="1013" w:val="left" w:leader="none"/>
        </w:tabs>
        <w:spacing w:line="276" w:lineRule="auto" w:before="0" w:after="0"/>
        <w:ind w:left="726" w:right="693" w:firstLine="0"/>
        <w:jc w:val="both"/>
        <w:rPr>
          <w:sz w:val="20"/>
        </w:rPr>
      </w:pPr>
      <w:r>
        <w:rPr>
          <w:sz w:val="20"/>
        </w:rPr>
        <w:t>95/46/AT sayılı Direktif’in 26(2) maddesine dayalı olarak bir üye devlet veya denetim makamı tarafından verilen yetkiler, gerektiğinde söz konusu denetim makamı tarafından değiştirilene, yenilenene veya yürürlükten kaldırılana kadar geçerliliğini korur. 95/46/AT sayılı Direktif’in 26(4) maddesine dayalı olarak Komisyon tarafından kabul edilen kararlar, gerektiğinde bu maddenin 2. paragrafı uyarınca kabul edilen bir Komisyon Kararı ile değiştirilene, yenilenene veya yürürlükten kaldırılana kadar yürürlükte  kalır.</w:t>
      </w:r>
    </w:p>
    <w:p>
      <w:pPr>
        <w:pStyle w:val="BodyText"/>
        <w:spacing w:before="2"/>
        <w:rPr>
          <w:sz w:val="24"/>
        </w:rPr>
      </w:pPr>
    </w:p>
    <w:p>
      <w:pPr>
        <w:pStyle w:val="BodyText"/>
        <w:spacing w:line="278" w:lineRule="auto"/>
        <w:ind w:left="5035" w:right="5053"/>
        <w:jc w:val="center"/>
      </w:pPr>
      <w:r>
        <w:rPr/>
        <w:t>Madde 47</w:t>
      </w:r>
    </w:p>
    <w:p>
      <w:pPr>
        <w:pStyle w:val="BodyText"/>
        <w:rPr>
          <w:sz w:val="22"/>
        </w:rPr>
      </w:pPr>
    </w:p>
    <w:p>
      <w:pPr>
        <w:pStyle w:val="BodyText"/>
        <w:spacing w:before="2"/>
        <w:rPr>
          <w:sz w:val="24"/>
        </w:rPr>
      </w:pPr>
    </w:p>
    <w:p>
      <w:pPr>
        <w:pStyle w:val="Heading1"/>
        <w:spacing w:line="276" w:lineRule="auto"/>
        <w:ind w:left="4430" w:right="4447"/>
      </w:pPr>
      <w:r>
        <w:rPr/>
        <w:t>Bağlayıcı kurumsal kurallar</w:t>
      </w:r>
    </w:p>
    <w:p>
      <w:pPr>
        <w:pStyle w:val="BodyText"/>
        <w:rPr>
          <w:b/>
          <w:sz w:val="22"/>
        </w:rPr>
      </w:pPr>
    </w:p>
    <w:p>
      <w:pPr>
        <w:pStyle w:val="BodyText"/>
        <w:spacing w:before="5"/>
        <w:rPr>
          <w:b/>
          <w:sz w:val="24"/>
        </w:rPr>
      </w:pPr>
    </w:p>
    <w:p>
      <w:pPr>
        <w:pStyle w:val="ListParagraph"/>
        <w:numPr>
          <w:ilvl w:val="0"/>
          <w:numId w:val="85"/>
        </w:numPr>
        <w:tabs>
          <w:tab w:pos="970" w:val="left" w:leader="none"/>
        </w:tabs>
        <w:spacing w:line="276" w:lineRule="auto" w:before="0" w:after="0"/>
        <w:ind w:left="726" w:right="700" w:firstLine="0"/>
        <w:jc w:val="left"/>
        <w:rPr>
          <w:sz w:val="20"/>
        </w:rPr>
      </w:pPr>
      <w:r>
        <w:rPr>
          <w:sz w:val="20"/>
        </w:rPr>
        <w:t>yetkin denetim makamı, aşağıdaki koşulları sağlamaları durumunda, bağlayıcı kurumsal kuralları 63. maddede ortaya konan tutarlılık mekanizması uyarınca</w:t>
      </w:r>
      <w:r>
        <w:rPr>
          <w:spacing w:val="-7"/>
          <w:sz w:val="20"/>
        </w:rPr>
        <w:t> </w:t>
      </w:r>
      <w:r>
        <w:rPr>
          <w:sz w:val="20"/>
        </w:rPr>
        <w:t>onaylar:</w:t>
      </w:r>
    </w:p>
    <w:p>
      <w:pPr>
        <w:pStyle w:val="BodyText"/>
        <w:spacing w:before="10"/>
        <w:rPr>
          <w:sz w:val="23"/>
        </w:rPr>
      </w:pPr>
    </w:p>
    <w:p>
      <w:pPr>
        <w:pStyle w:val="ListParagraph"/>
        <w:numPr>
          <w:ilvl w:val="0"/>
          <w:numId w:val="86"/>
        </w:numPr>
        <w:tabs>
          <w:tab w:pos="1034" w:val="left" w:leader="none"/>
        </w:tabs>
        <w:spacing w:line="276" w:lineRule="auto" w:before="1" w:after="0"/>
        <w:ind w:left="1022" w:right="701" w:hanging="296"/>
        <w:jc w:val="both"/>
        <w:rPr>
          <w:sz w:val="20"/>
        </w:rPr>
      </w:pPr>
      <w:r>
        <w:rPr>
          <w:sz w:val="20"/>
        </w:rPr>
        <w:t>çalışanları da dahil olmak üzere ortak bir ekonomik faaliyette bulunan bir teşebbüsler grubunun veya bir işletmeler grubunun ilgili her üyesi açısından yasal bağlayıcılığının olması, bu üyelere uygulanması ve bu üyeler tarafından</w:t>
      </w:r>
      <w:r>
        <w:rPr>
          <w:spacing w:val="-3"/>
          <w:sz w:val="20"/>
        </w:rPr>
        <w:t> </w:t>
      </w:r>
      <w:r>
        <w:rPr>
          <w:sz w:val="20"/>
        </w:rPr>
        <w:t>yürütülmesi;</w:t>
      </w:r>
    </w:p>
    <w:p>
      <w:pPr>
        <w:pStyle w:val="BodyText"/>
        <w:spacing w:before="9"/>
        <w:rPr>
          <w:sz w:val="22"/>
        </w:rPr>
      </w:pPr>
    </w:p>
    <w:p>
      <w:pPr>
        <w:pStyle w:val="ListParagraph"/>
        <w:numPr>
          <w:ilvl w:val="0"/>
          <w:numId w:val="86"/>
        </w:numPr>
        <w:tabs>
          <w:tab w:pos="1027" w:val="left" w:leader="none"/>
        </w:tabs>
        <w:spacing w:line="240" w:lineRule="auto" w:before="1" w:after="0"/>
        <w:ind w:left="1026" w:right="0" w:hanging="300"/>
        <w:jc w:val="left"/>
        <w:rPr>
          <w:sz w:val="20"/>
        </w:rPr>
      </w:pPr>
      <w:r>
        <w:rPr>
          <w:sz w:val="20"/>
        </w:rPr>
        <w:t>veri</w:t>
      </w:r>
      <w:r>
        <w:rPr>
          <w:spacing w:val="-5"/>
          <w:sz w:val="20"/>
        </w:rPr>
        <w:t> </w:t>
      </w:r>
      <w:r>
        <w:rPr>
          <w:sz w:val="20"/>
        </w:rPr>
        <w:t>sahiplerine</w:t>
      </w:r>
      <w:r>
        <w:rPr>
          <w:spacing w:val="-5"/>
          <w:sz w:val="20"/>
        </w:rPr>
        <w:t> </w:t>
      </w:r>
      <w:r>
        <w:rPr>
          <w:sz w:val="20"/>
        </w:rPr>
        <w:t>kişisel</w:t>
      </w:r>
      <w:r>
        <w:rPr>
          <w:spacing w:val="-6"/>
          <w:sz w:val="20"/>
        </w:rPr>
        <w:t> </w:t>
      </w:r>
      <w:r>
        <w:rPr>
          <w:sz w:val="20"/>
        </w:rPr>
        <w:t>verilerinin</w:t>
      </w:r>
      <w:r>
        <w:rPr>
          <w:spacing w:val="-3"/>
          <w:sz w:val="20"/>
        </w:rPr>
        <w:t> </w:t>
      </w:r>
      <w:r>
        <w:rPr>
          <w:sz w:val="20"/>
        </w:rPr>
        <w:t>işlenmesi</w:t>
      </w:r>
      <w:r>
        <w:rPr>
          <w:spacing w:val="-6"/>
          <w:sz w:val="20"/>
        </w:rPr>
        <w:t> </w:t>
      </w:r>
      <w:r>
        <w:rPr>
          <w:sz w:val="20"/>
        </w:rPr>
        <w:t>ile</w:t>
      </w:r>
      <w:r>
        <w:rPr>
          <w:spacing w:val="-3"/>
          <w:sz w:val="20"/>
        </w:rPr>
        <w:t> </w:t>
      </w:r>
      <w:r>
        <w:rPr>
          <w:sz w:val="20"/>
        </w:rPr>
        <w:t>ilgili</w:t>
      </w:r>
      <w:r>
        <w:rPr>
          <w:spacing w:val="-4"/>
          <w:sz w:val="20"/>
        </w:rPr>
        <w:t> </w:t>
      </w:r>
      <w:r>
        <w:rPr>
          <w:sz w:val="20"/>
        </w:rPr>
        <w:t>olarak</w:t>
      </w:r>
      <w:r>
        <w:rPr>
          <w:spacing w:val="-1"/>
          <w:sz w:val="20"/>
        </w:rPr>
        <w:t> </w:t>
      </w:r>
      <w:r>
        <w:rPr>
          <w:sz w:val="20"/>
        </w:rPr>
        <w:t>uygulanabilir</w:t>
      </w:r>
      <w:r>
        <w:rPr>
          <w:spacing w:val="-2"/>
          <w:sz w:val="20"/>
        </w:rPr>
        <w:t> </w:t>
      </w:r>
      <w:r>
        <w:rPr>
          <w:sz w:val="20"/>
        </w:rPr>
        <w:t>hakları</w:t>
      </w:r>
      <w:r>
        <w:rPr>
          <w:spacing w:val="-2"/>
          <w:sz w:val="20"/>
        </w:rPr>
        <w:t> </w:t>
      </w:r>
      <w:r>
        <w:rPr>
          <w:sz w:val="20"/>
        </w:rPr>
        <w:t>açık</w:t>
      </w:r>
      <w:r>
        <w:rPr>
          <w:spacing w:val="-1"/>
          <w:sz w:val="20"/>
        </w:rPr>
        <w:t> </w:t>
      </w:r>
      <w:r>
        <w:rPr>
          <w:sz w:val="20"/>
        </w:rPr>
        <w:t>bir</w:t>
      </w:r>
      <w:r>
        <w:rPr>
          <w:spacing w:val="-4"/>
          <w:sz w:val="20"/>
        </w:rPr>
        <w:t> </w:t>
      </w:r>
      <w:r>
        <w:rPr>
          <w:sz w:val="20"/>
        </w:rPr>
        <w:t>şekilde</w:t>
      </w:r>
      <w:r>
        <w:rPr>
          <w:spacing w:val="-4"/>
          <w:sz w:val="20"/>
        </w:rPr>
        <w:t> </w:t>
      </w:r>
      <w:r>
        <w:rPr>
          <w:sz w:val="20"/>
        </w:rPr>
        <w:t>vermesi</w:t>
      </w:r>
      <w:r>
        <w:rPr>
          <w:spacing w:val="-6"/>
          <w:sz w:val="20"/>
        </w:rPr>
        <w:t> </w:t>
      </w:r>
      <w:r>
        <w:rPr>
          <w:sz w:val="20"/>
        </w:rPr>
        <w:t>ve</w:t>
      </w:r>
    </w:p>
    <w:p>
      <w:pPr>
        <w:pStyle w:val="BodyText"/>
        <w:spacing w:before="10"/>
        <w:rPr>
          <w:sz w:val="26"/>
        </w:rPr>
      </w:pPr>
    </w:p>
    <w:p>
      <w:pPr>
        <w:pStyle w:val="ListParagraph"/>
        <w:numPr>
          <w:ilvl w:val="0"/>
          <w:numId w:val="86"/>
        </w:numPr>
        <w:tabs>
          <w:tab w:pos="1017" w:val="left" w:leader="none"/>
        </w:tabs>
        <w:spacing w:line="240" w:lineRule="auto" w:before="1" w:after="0"/>
        <w:ind w:left="1016" w:right="0" w:hanging="290"/>
        <w:jc w:val="left"/>
        <w:rPr>
          <w:sz w:val="20"/>
        </w:rPr>
      </w:pPr>
      <w:r>
        <w:rPr>
          <w:sz w:val="20"/>
        </w:rPr>
        <w:t>2. paragrafta belirtilen gereklilikleri yerine</w:t>
      </w:r>
      <w:r>
        <w:rPr>
          <w:spacing w:val="0"/>
          <w:sz w:val="20"/>
        </w:rPr>
        <w:t> </w:t>
      </w:r>
      <w:r>
        <w:rPr>
          <w:sz w:val="20"/>
        </w:rPr>
        <w:t>getirmesi.</w:t>
      </w:r>
    </w:p>
    <w:p>
      <w:pPr>
        <w:pStyle w:val="BodyText"/>
        <w:spacing w:before="8"/>
        <w:rPr>
          <w:sz w:val="26"/>
        </w:rPr>
      </w:pPr>
    </w:p>
    <w:p>
      <w:pPr>
        <w:pStyle w:val="ListParagraph"/>
        <w:numPr>
          <w:ilvl w:val="0"/>
          <w:numId w:val="85"/>
        </w:numPr>
        <w:tabs>
          <w:tab w:pos="948" w:val="left" w:leader="none"/>
        </w:tabs>
        <w:spacing w:line="240" w:lineRule="auto" w:before="0" w:after="0"/>
        <w:ind w:left="947" w:right="0" w:hanging="221"/>
        <w:jc w:val="left"/>
        <w:rPr>
          <w:sz w:val="20"/>
        </w:rPr>
      </w:pPr>
      <w:r>
        <w:rPr>
          <w:sz w:val="20"/>
        </w:rPr>
        <w:t>1. paragrafta atıfta bulunulan bağlayıcı kurumsal kurallarda en azından aşağıdakiler</w:t>
      </w:r>
      <w:r>
        <w:rPr>
          <w:spacing w:val="-23"/>
          <w:sz w:val="20"/>
        </w:rPr>
        <w:t> </w:t>
      </w:r>
      <w:r>
        <w:rPr>
          <w:sz w:val="20"/>
        </w:rPr>
        <w:t>belirtilir:</w:t>
      </w:r>
    </w:p>
    <w:p>
      <w:pPr>
        <w:pStyle w:val="BodyText"/>
        <w:rPr>
          <w:sz w:val="22"/>
        </w:rPr>
      </w:pPr>
    </w:p>
    <w:p>
      <w:pPr>
        <w:pStyle w:val="BodyText"/>
        <w:spacing w:before="1"/>
        <w:rPr>
          <w:sz w:val="27"/>
        </w:rPr>
      </w:pPr>
    </w:p>
    <w:p>
      <w:pPr>
        <w:pStyle w:val="ListParagraph"/>
        <w:numPr>
          <w:ilvl w:val="0"/>
          <w:numId w:val="87"/>
        </w:numPr>
        <w:tabs>
          <w:tab w:pos="1090" w:val="left" w:leader="none"/>
        </w:tabs>
        <w:spacing w:line="240" w:lineRule="auto" w:before="0" w:after="0"/>
        <w:ind w:left="1079" w:right="0" w:hanging="350"/>
        <w:jc w:val="left"/>
        <w:rPr>
          <w:sz w:val="20"/>
        </w:rPr>
      </w:pPr>
      <w:r>
        <w:rPr>
          <w:sz w:val="20"/>
        </w:rPr>
        <w:t>ortak bir ekonomik faaliyette bulunan bir teşebbüsler grubunun veya bir işletmeler grubunun ve</w:t>
      </w:r>
      <w:r>
        <w:rPr>
          <w:spacing w:val="-24"/>
          <w:sz w:val="20"/>
        </w:rPr>
        <w:t> </w:t>
      </w:r>
      <w:r>
        <w:rPr>
          <w:sz w:val="20"/>
        </w:rPr>
        <w:t>her</w:t>
      </w:r>
    </w:p>
    <w:p>
      <w:pPr>
        <w:spacing w:after="0" w:line="240" w:lineRule="auto"/>
        <w:jc w:val="left"/>
        <w:rPr>
          <w:sz w:val="20"/>
        </w:rPr>
        <w:sectPr>
          <w:pgSz w:w="11930" w:h="16850"/>
          <w:pgMar w:header="961" w:footer="0" w:top="1240" w:bottom="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before="66"/>
        <w:ind w:left="729"/>
      </w:pPr>
      <w:r>
        <w:rPr/>
        <w:t>üyesinin yapısı ve irtibat bilgileri;</w:t>
      </w:r>
    </w:p>
    <w:p>
      <w:pPr>
        <w:pStyle w:val="BodyText"/>
        <w:spacing w:before="2"/>
        <w:rPr>
          <w:sz w:val="26"/>
        </w:rPr>
      </w:pPr>
    </w:p>
    <w:p>
      <w:pPr>
        <w:pStyle w:val="ListParagraph"/>
        <w:numPr>
          <w:ilvl w:val="0"/>
          <w:numId w:val="87"/>
        </w:numPr>
        <w:tabs>
          <w:tab w:pos="1032" w:val="left" w:leader="none"/>
        </w:tabs>
        <w:spacing w:line="276" w:lineRule="auto" w:before="0" w:after="0"/>
        <w:ind w:left="1079" w:right="702" w:hanging="350"/>
        <w:jc w:val="both"/>
        <w:rPr>
          <w:sz w:val="20"/>
        </w:rPr>
      </w:pPr>
      <w:r>
        <w:rPr>
          <w:sz w:val="20"/>
        </w:rPr>
        <w:t>kişisel veri kategorileri, işleme türü ve amaçları, etkilenen veri sahiplerinin türü ve söz konusu üçüncü ülke veya ülkelere ilişkin açıklama da dahil olmak üzere veri aktarımları veya aktarım</w:t>
      </w:r>
      <w:r>
        <w:rPr>
          <w:spacing w:val="-25"/>
          <w:sz w:val="20"/>
        </w:rPr>
        <w:t> </w:t>
      </w:r>
      <w:r>
        <w:rPr>
          <w:sz w:val="20"/>
        </w:rPr>
        <w:t>dizisi;</w:t>
      </w:r>
    </w:p>
    <w:p>
      <w:pPr>
        <w:pStyle w:val="BodyText"/>
        <w:spacing w:before="3"/>
        <w:rPr>
          <w:sz w:val="23"/>
        </w:rPr>
      </w:pPr>
    </w:p>
    <w:p>
      <w:pPr>
        <w:pStyle w:val="ListParagraph"/>
        <w:numPr>
          <w:ilvl w:val="0"/>
          <w:numId w:val="87"/>
        </w:numPr>
        <w:tabs>
          <w:tab w:pos="1017" w:val="left" w:leader="none"/>
        </w:tabs>
        <w:spacing w:line="240" w:lineRule="auto" w:before="1" w:after="0"/>
        <w:ind w:left="1016" w:right="0" w:hanging="290"/>
        <w:jc w:val="left"/>
        <w:rPr>
          <w:sz w:val="20"/>
        </w:rPr>
      </w:pPr>
      <w:r>
        <w:rPr>
          <w:sz w:val="20"/>
        </w:rPr>
        <w:t>bunların hem içsel hem de dışsal olarak hukuki bağlayıcılık</w:t>
      </w:r>
      <w:r>
        <w:rPr>
          <w:spacing w:val="-3"/>
          <w:sz w:val="20"/>
        </w:rPr>
        <w:t> </w:t>
      </w:r>
      <w:r>
        <w:rPr>
          <w:sz w:val="20"/>
        </w:rPr>
        <w:t>yapısı;</w:t>
      </w:r>
    </w:p>
    <w:p>
      <w:pPr>
        <w:pStyle w:val="BodyText"/>
        <w:rPr>
          <w:sz w:val="22"/>
        </w:rPr>
      </w:pPr>
    </w:p>
    <w:p>
      <w:pPr>
        <w:pStyle w:val="BodyText"/>
        <w:rPr>
          <w:sz w:val="27"/>
        </w:rPr>
      </w:pPr>
    </w:p>
    <w:p>
      <w:pPr>
        <w:pStyle w:val="ListParagraph"/>
        <w:numPr>
          <w:ilvl w:val="0"/>
          <w:numId w:val="87"/>
        </w:numPr>
        <w:tabs>
          <w:tab w:pos="1065" w:val="left" w:leader="none"/>
        </w:tabs>
        <w:spacing w:line="276" w:lineRule="auto" w:before="0" w:after="0"/>
        <w:ind w:left="1079" w:right="689" w:hanging="350"/>
        <w:jc w:val="both"/>
        <w:rPr>
          <w:sz w:val="20"/>
        </w:rPr>
      </w:pPr>
      <w:r>
        <w:rPr>
          <w:sz w:val="20"/>
        </w:rPr>
        <w:t>amaç sınırlaması, verilerin en alt düzeye indirilmesi, sınırlı saklama süreleri, veri kalitesi, özel ve olağan veri koruması, işleme faaliyetine yönelik yasal dayanak, özel kategorilerdeki kişisel verilerin işlenmesi başta olmak üzere genel veri koruma ilkeleri, veri güvenliğinin sağlanmasına ilişkin tedbirler ve bağlayıcı kurumsal kurallara bağlı bulunmayan organlara transit aktarımlara ilişkin gerekliliklerin</w:t>
      </w:r>
      <w:r>
        <w:rPr>
          <w:spacing w:val="-3"/>
          <w:sz w:val="20"/>
        </w:rPr>
        <w:t> </w:t>
      </w:r>
      <w:r>
        <w:rPr>
          <w:sz w:val="20"/>
        </w:rPr>
        <w:t>uygulanması;</w:t>
      </w:r>
    </w:p>
    <w:p>
      <w:pPr>
        <w:pStyle w:val="BodyText"/>
        <w:rPr>
          <w:sz w:val="22"/>
        </w:rPr>
      </w:pPr>
    </w:p>
    <w:p>
      <w:pPr>
        <w:pStyle w:val="BodyText"/>
        <w:spacing w:before="10"/>
        <w:rPr>
          <w:sz w:val="24"/>
        </w:rPr>
      </w:pPr>
    </w:p>
    <w:p>
      <w:pPr>
        <w:pStyle w:val="ListParagraph"/>
        <w:numPr>
          <w:ilvl w:val="0"/>
          <w:numId w:val="87"/>
        </w:numPr>
        <w:tabs>
          <w:tab w:pos="1048" w:val="left" w:leader="none"/>
        </w:tabs>
        <w:spacing w:line="276" w:lineRule="auto" w:before="0" w:after="0"/>
        <w:ind w:left="1079" w:right="689" w:hanging="350"/>
        <w:jc w:val="both"/>
        <w:rPr>
          <w:sz w:val="20"/>
        </w:rPr>
      </w:pPr>
      <w:r>
        <w:rPr>
          <w:sz w:val="20"/>
        </w:rPr>
        <w:t>22. madde uyarınca profil çıkarma da dahil olmak üzere yalnızca otomatik işleme faaliyetine dayalı kararlara tabi olmama hakkı, 79. madde uyarınca üye devletlerin yetkin denetim makamına ve yetkin mahkemelerine şikayette bulunma ve tazminat alma hakkı ve, uygun olduğu hallerde, bağlayıcı kurumsal kurallara ilişkin bir ihlalde dolayı tazminat hakkı da dahil olmak üzere veri sahiplerinin işleme faaliyetine ilişkin hakları ve bu hakları kullanma</w:t>
      </w:r>
      <w:r>
        <w:rPr>
          <w:spacing w:val="-7"/>
          <w:sz w:val="20"/>
        </w:rPr>
        <w:t> </w:t>
      </w:r>
      <w:r>
        <w:rPr>
          <w:sz w:val="20"/>
        </w:rPr>
        <w:t>yöntemleri;</w:t>
      </w:r>
    </w:p>
    <w:p>
      <w:pPr>
        <w:pStyle w:val="BodyText"/>
        <w:rPr>
          <w:sz w:val="22"/>
        </w:rPr>
      </w:pPr>
    </w:p>
    <w:p>
      <w:pPr>
        <w:pStyle w:val="BodyText"/>
        <w:spacing w:before="6"/>
        <w:rPr>
          <w:sz w:val="24"/>
        </w:rPr>
      </w:pPr>
    </w:p>
    <w:p>
      <w:pPr>
        <w:pStyle w:val="ListParagraph"/>
        <w:numPr>
          <w:ilvl w:val="0"/>
          <w:numId w:val="87"/>
        </w:numPr>
        <w:tabs>
          <w:tab w:pos="976" w:val="left" w:leader="none"/>
        </w:tabs>
        <w:spacing w:line="276" w:lineRule="auto" w:before="0" w:after="0"/>
        <w:ind w:left="1079" w:right="694" w:hanging="350"/>
        <w:jc w:val="both"/>
        <w:rPr>
          <w:sz w:val="20"/>
        </w:rPr>
      </w:pPr>
      <w:r>
        <w:rPr>
          <w:sz w:val="20"/>
        </w:rPr>
        <w:t>bir üye devletin topraklarında kurulu kontrolör veya işleyicinin Birlik içerisinde kurulu olmayan herhangi bir üye tarafından bağlayıcı kurumsal kuralların ihlal edilmesi hususunda yükümlülüğü üstüne alması; kontrolör veya işleyici, ancak üyenin zarara neden olan olaydan</w:t>
      </w:r>
      <w:r>
        <w:rPr>
          <w:spacing w:val="-4"/>
          <w:sz w:val="20"/>
        </w:rPr>
        <w:t> </w:t>
      </w:r>
      <w:r>
        <w:rPr>
          <w:sz w:val="20"/>
        </w:rPr>
        <w:t>sorumlu</w:t>
      </w:r>
    </w:p>
    <w:p>
      <w:pPr>
        <w:pStyle w:val="BodyText"/>
        <w:rPr>
          <w:sz w:val="22"/>
        </w:rPr>
      </w:pPr>
    </w:p>
    <w:p>
      <w:pPr>
        <w:pStyle w:val="BodyText"/>
        <w:rPr>
          <w:sz w:val="24"/>
        </w:rPr>
      </w:pPr>
    </w:p>
    <w:p>
      <w:pPr>
        <w:pStyle w:val="BodyText"/>
        <w:ind w:left="1079"/>
      </w:pPr>
      <w:r>
        <w:rPr/>
        <w:t>olmadığını kanıtlaması durumunda, bu yükümlülükten tamamen veya kısmen muaf tutulur;</w:t>
      </w:r>
    </w:p>
    <w:p>
      <w:pPr>
        <w:pStyle w:val="BodyText"/>
        <w:spacing w:before="4"/>
        <w:rPr>
          <w:sz w:val="26"/>
        </w:rPr>
      </w:pPr>
    </w:p>
    <w:p>
      <w:pPr>
        <w:pStyle w:val="ListParagraph"/>
        <w:numPr>
          <w:ilvl w:val="0"/>
          <w:numId w:val="87"/>
        </w:numPr>
        <w:tabs>
          <w:tab w:pos="1027" w:val="left" w:leader="none"/>
        </w:tabs>
        <w:spacing w:line="278" w:lineRule="auto" w:before="0" w:after="0"/>
        <w:ind w:left="726" w:right="563" w:firstLine="0"/>
        <w:jc w:val="left"/>
        <w:rPr>
          <w:sz w:val="20"/>
        </w:rPr>
      </w:pPr>
      <w:r>
        <w:rPr>
          <w:sz w:val="20"/>
        </w:rPr>
        <w:t>bu paragrafın (d), (e) ve (f) bentlerinde atıfta bulunulan hükümler başta olmak üzere bağlayıcı kurumsal kurallara ilişkin bilgilerin 13 ve 14. maddelere ek olarak veri sahiplerine nasıl</w:t>
      </w:r>
      <w:r>
        <w:rPr>
          <w:spacing w:val="-20"/>
          <w:sz w:val="20"/>
        </w:rPr>
        <w:t> </w:t>
      </w:r>
      <w:r>
        <w:rPr>
          <w:sz w:val="20"/>
        </w:rPr>
        <w:t>sağlandığı;</w:t>
      </w:r>
    </w:p>
    <w:p>
      <w:pPr>
        <w:pStyle w:val="BodyText"/>
        <w:spacing w:before="8"/>
        <w:rPr>
          <w:sz w:val="22"/>
        </w:rPr>
      </w:pPr>
    </w:p>
    <w:p>
      <w:pPr>
        <w:pStyle w:val="ListParagraph"/>
        <w:numPr>
          <w:ilvl w:val="0"/>
          <w:numId w:val="87"/>
        </w:numPr>
        <w:tabs>
          <w:tab w:pos="1087" w:val="left" w:leader="none"/>
        </w:tabs>
        <w:spacing w:line="276" w:lineRule="auto" w:before="0" w:after="0"/>
        <w:ind w:left="1079" w:right="689" w:hanging="350"/>
        <w:jc w:val="both"/>
        <w:rPr>
          <w:sz w:val="20"/>
        </w:rPr>
      </w:pPr>
      <w:r>
        <w:rPr>
          <w:sz w:val="20"/>
        </w:rPr>
        <w:t>37. madde uyarınca belirlenen herhangi bir veri koruma görevlisinin ya da ortak bir ekonomik faaliyette bulunan bir teşebbüsler grubu veya bir işletmeler grubu içerisinde bağlayıcı kurumsal kurallara uyumluluğun izlenmesinin yanı sıra eğitimin izlenmesi ve şikayetlerin ele alınmasından sorumlu olan diğer kişiler veya kuruluşların</w:t>
      </w:r>
      <w:r>
        <w:rPr>
          <w:spacing w:val="-2"/>
          <w:sz w:val="20"/>
        </w:rPr>
        <w:t> </w:t>
      </w:r>
      <w:r>
        <w:rPr>
          <w:sz w:val="20"/>
        </w:rPr>
        <w:t>görevleri;</w:t>
      </w:r>
    </w:p>
    <w:p>
      <w:pPr>
        <w:pStyle w:val="BodyText"/>
        <w:spacing w:before="5"/>
        <w:rPr>
          <w:sz w:val="23"/>
        </w:rPr>
      </w:pPr>
    </w:p>
    <w:p>
      <w:pPr>
        <w:pStyle w:val="ListParagraph"/>
        <w:numPr>
          <w:ilvl w:val="0"/>
          <w:numId w:val="87"/>
        </w:numPr>
        <w:tabs>
          <w:tab w:pos="960" w:val="left" w:leader="none"/>
        </w:tabs>
        <w:spacing w:line="240" w:lineRule="auto" w:before="1" w:after="0"/>
        <w:ind w:left="959" w:right="0" w:hanging="233"/>
        <w:jc w:val="left"/>
        <w:rPr>
          <w:sz w:val="20"/>
        </w:rPr>
      </w:pPr>
      <w:r>
        <w:rPr>
          <w:sz w:val="20"/>
        </w:rPr>
        <w:t>şikayet</w:t>
      </w:r>
      <w:r>
        <w:rPr>
          <w:spacing w:val="-2"/>
          <w:sz w:val="20"/>
        </w:rPr>
        <w:t> </w:t>
      </w:r>
      <w:r>
        <w:rPr>
          <w:sz w:val="20"/>
        </w:rPr>
        <w:t>usulleri;</w:t>
      </w:r>
    </w:p>
    <w:p>
      <w:pPr>
        <w:pStyle w:val="BodyText"/>
        <w:spacing w:before="1"/>
        <w:rPr>
          <w:sz w:val="26"/>
        </w:rPr>
      </w:pPr>
    </w:p>
    <w:p>
      <w:pPr>
        <w:pStyle w:val="ListParagraph"/>
        <w:numPr>
          <w:ilvl w:val="0"/>
          <w:numId w:val="87"/>
        </w:numPr>
        <w:tabs>
          <w:tab w:pos="1019" w:val="left" w:leader="none"/>
        </w:tabs>
        <w:spacing w:line="276" w:lineRule="auto" w:before="0" w:after="0"/>
        <w:ind w:left="1079" w:right="688" w:hanging="350"/>
        <w:jc w:val="both"/>
        <w:rPr>
          <w:sz w:val="20"/>
        </w:rPr>
      </w:pPr>
      <w:r>
        <w:rPr>
          <w:sz w:val="20"/>
        </w:rPr>
        <w:t>ortak bir ekonomik faaliyette bulunan bir teşebbüsler grubu veya bir işletmeler grubu içerisinde bağlayıcı kurumsal kurallara uyumluluğun doğrulanmasının sağlanmasına yönelik mekanizmalar. Söz konusu mekanizmalar veri sahibinin haklarının korunmasına yönelik düzeltici eylemlerin sağlanmasına ilişkin veri koruma denetimleri ve yöntemlerini kapsar. Söz konusu doğrulamanın sonuçları (h) bendinde atıfta bulunulan kişi veya kuruluşa ve ortak bir ekonomik faaliyette bulunan bir teşebbüsler grubunun ya da bir işletmeler grubunun denetleyici teşebbüsünün yönetim kuruluna iletilir ve talep üzerine yetkin denetim makamına</w:t>
      </w:r>
      <w:r>
        <w:rPr>
          <w:spacing w:val="-3"/>
          <w:sz w:val="20"/>
        </w:rPr>
        <w:t> </w:t>
      </w:r>
      <w:r>
        <w:rPr>
          <w:sz w:val="20"/>
        </w:rPr>
        <w:t>sağlanmalıdır;</w:t>
      </w:r>
    </w:p>
    <w:p>
      <w:pPr>
        <w:pStyle w:val="BodyText"/>
        <w:rPr>
          <w:sz w:val="22"/>
        </w:rPr>
      </w:pPr>
    </w:p>
    <w:p>
      <w:pPr>
        <w:pStyle w:val="BodyText"/>
        <w:spacing w:before="5"/>
        <w:rPr>
          <w:sz w:val="24"/>
        </w:rPr>
      </w:pPr>
    </w:p>
    <w:p>
      <w:pPr>
        <w:pStyle w:val="ListParagraph"/>
        <w:numPr>
          <w:ilvl w:val="0"/>
          <w:numId w:val="87"/>
        </w:numPr>
        <w:tabs>
          <w:tab w:pos="1036" w:val="left" w:leader="none"/>
        </w:tabs>
        <w:spacing w:line="278" w:lineRule="auto" w:before="1" w:after="0"/>
        <w:ind w:left="1079" w:right="697" w:hanging="350"/>
        <w:jc w:val="both"/>
        <w:rPr>
          <w:sz w:val="20"/>
        </w:rPr>
      </w:pPr>
      <w:r>
        <w:rPr>
          <w:sz w:val="20"/>
        </w:rPr>
        <w:t>kurallara ilişkin değişikliklerin raporlanması ve kaydedilmesi ile bu değişikliklerin denetim makamına raporlanmasına ilişkin</w:t>
      </w:r>
      <w:r>
        <w:rPr>
          <w:spacing w:val="-3"/>
          <w:sz w:val="20"/>
        </w:rPr>
        <w:t> </w:t>
      </w:r>
      <w:r>
        <w:rPr>
          <w:sz w:val="20"/>
        </w:rPr>
        <w:t>mekanizmalar;</w:t>
      </w:r>
    </w:p>
    <w:p>
      <w:pPr>
        <w:pStyle w:val="BodyText"/>
        <w:rPr>
          <w:sz w:val="22"/>
        </w:rPr>
      </w:pPr>
    </w:p>
    <w:p>
      <w:pPr>
        <w:pStyle w:val="BodyText"/>
        <w:spacing w:before="3"/>
        <w:rPr>
          <w:sz w:val="24"/>
        </w:rPr>
      </w:pPr>
    </w:p>
    <w:p>
      <w:pPr>
        <w:pStyle w:val="ListParagraph"/>
        <w:numPr>
          <w:ilvl w:val="0"/>
          <w:numId w:val="87"/>
        </w:numPr>
        <w:tabs>
          <w:tab w:pos="969" w:val="left" w:leader="none"/>
        </w:tabs>
        <w:spacing w:line="276" w:lineRule="auto" w:before="0" w:after="0"/>
        <w:ind w:left="1079" w:right="690" w:hanging="350"/>
        <w:jc w:val="both"/>
        <w:rPr>
          <w:sz w:val="20"/>
        </w:rPr>
      </w:pPr>
      <w:r>
        <w:rPr>
          <w:sz w:val="20"/>
        </w:rPr>
        <w:t>özellikle (j) bendinde atıfta bulunulan tedbirlere ilişkin doğrulamaların sonuçlarının denetim makamına sağlanması suretiyle, ortak bir faaliyette bulunan bir teşebbüsler grubunun veya bir işletmeler grubunun herhangi bir üyesinin uyumluluğunu sağlamak üzere denetim makamı ile kurulan işbirliği mekanizması;</w:t>
      </w:r>
    </w:p>
    <w:p>
      <w:pPr>
        <w:spacing w:after="0" w:line="276"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87"/>
        </w:numPr>
        <w:tabs>
          <w:tab w:pos="1130" w:val="left" w:leader="none"/>
        </w:tabs>
        <w:spacing w:line="276" w:lineRule="auto" w:before="66" w:after="0"/>
        <w:ind w:left="1079" w:right="693" w:hanging="350"/>
        <w:jc w:val="both"/>
        <w:rPr>
          <w:sz w:val="20"/>
        </w:rPr>
      </w:pPr>
      <w:r>
        <w:rPr>
          <w:sz w:val="20"/>
        </w:rPr>
        <w:t>ortak bir ekonomik faaliyette bulunan bir teşebbüsler grubunun veya bir işletmeler grubunun bir üyesinin üçüncü bir ülkede tabi olduğu ve bağlayıcı kurumsal kuralların sağladığı teminatlar açısından kayda değer bir olumsuz etkisinin bulunmasının muhtemel olduğu yasal gerekliliklerin yetkin denetim makamına raporlanmasına ilişkin mekanizmalar</w:t>
      </w:r>
      <w:r>
        <w:rPr>
          <w:spacing w:val="-5"/>
          <w:sz w:val="20"/>
        </w:rPr>
        <w:t> </w:t>
      </w:r>
      <w:r>
        <w:rPr>
          <w:sz w:val="20"/>
        </w:rPr>
        <w:t>ve</w:t>
      </w:r>
    </w:p>
    <w:p>
      <w:pPr>
        <w:pStyle w:val="BodyText"/>
        <w:spacing w:before="5"/>
        <w:rPr>
          <w:sz w:val="23"/>
        </w:rPr>
      </w:pPr>
    </w:p>
    <w:p>
      <w:pPr>
        <w:pStyle w:val="ListParagraph"/>
        <w:numPr>
          <w:ilvl w:val="0"/>
          <w:numId w:val="87"/>
        </w:numPr>
        <w:tabs>
          <w:tab w:pos="1027" w:val="left" w:leader="none"/>
        </w:tabs>
        <w:spacing w:line="240" w:lineRule="auto" w:before="1" w:after="0"/>
        <w:ind w:left="1026" w:right="0" w:hanging="300"/>
        <w:jc w:val="left"/>
        <w:rPr>
          <w:sz w:val="20"/>
        </w:rPr>
      </w:pPr>
      <w:r>
        <w:rPr>
          <w:sz w:val="20"/>
        </w:rPr>
        <w:t>kişisel verilere daimi veya geçici olarak erişimi bulunan personele uygun veri koruma</w:t>
      </w:r>
      <w:r>
        <w:rPr>
          <w:spacing w:val="-22"/>
          <w:sz w:val="20"/>
        </w:rPr>
        <w:t> </w:t>
      </w:r>
      <w:r>
        <w:rPr>
          <w:sz w:val="20"/>
        </w:rPr>
        <w:t>eğitimi.</w:t>
      </w:r>
    </w:p>
    <w:p>
      <w:pPr>
        <w:pStyle w:val="BodyText"/>
        <w:spacing w:before="3"/>
        <w:rPr>
          <w:sz w:val="30"/>
        </w:rPr>
      </w:pPr>
    </w:p>
    <w:p>
      <w:pPr>
        <w:pStyle w:val="ListParagraph"/>
        <w:numPr>
          <w:ilvl w:val="0"/>
          <w:numId w:val="85"/>
        </w:numPr>
        <w:tabs>
          <w:tab w:pos="972" w:val="left" w:leader="none"/>
        </w:tabs>
        <w:spacing w:line="276" w:lineRule="auto" w:before="0" w:after="0"/>
        <w:ind w:left="726" w:right="692" w:firstLine="0"/>
        <w:jc w:val="both"/>
        <w:rPr>
          <w:sz w:val="20"/>
        </w:rPr>
      </w:pPr>
      <w:r>
        <w:rPr>
          <w:sz w:val="20"/>
        </w:rPr>
        <w:t>Komisyon kontrolörler, işleyiciler ve denetim makamları arasında bu madde kapsamındaki bağlayıcı kurumsal kurallara yönelik bilgi alışverişine ilişkin format ve usulleri belirtebilir. Bu uygulama tasarrufları 93(2) maddesinde atıfta bulunulan inceleme usulü uyarınca kabul</w:t>
      </w:r>
      <w:r>
        <w:rPr>
          <w:spacing w:val="-11"/>
          <w:sz w:val="20"/>
        </w:rPr>
        <w:t> </w:t>
      </w:r>
      <w:r>
        <w:rPr>
          <w:sz w:val="20"/>
        </w:rPr>
        <w:t>edilir.</w:t>
      </w:r>
    </w:p>
    <w:p>
      <w:pPr>
        <w:pStyle w:val="BodyText"/>
        <w:rPr>
          <w:sz w:val="23"/>
        </w:rPr>
      </w:pPr>
    </w:p>
    <w:p>
      <w:pPr>
        <w:pStyle w:val="BodyText"/>
        <w:spacing w:line="276" w:lineRule="auto"/>
        <w:ind w:left="5035" w:right="5053"/>
        <w:jc w:val="center"/>
      </w:pPr>
      <w:r>
        <w:rPr/>
        <w:t>Madde 48</w:t>
      </w:r>
    </w:p>
    <w:p>
      <w:pPr>
        <w:pStyle w:val="BodyText"/>
        <w:spacing w:before="11"/>
        <w:rPr>
          <w:sz w:val="22"/>
        </w:rPr>
      </w:pPr>
    </w:p>
    <w:p>
      <w:pPr>
        <w:pStyle w:val="Heading1"/>
        <w:spacing w:line="276" w:lineRule="auto"/>
        <w:ind w:left="2928" w:right="2948"/>
      </w:pPr>
      <w:r>
        <w:rPr/>
        <w:t>Birlik hukuku çerçevesinde yetkilendirilmeyen aktarımlar veya açıklamalar</w:t>
      </w:r>
    </w:p>
    <w:p>
      <w:pPr>
        <w:pStyle w:val="BodyText"/>
        <w:rPr>
          <w:b/>
          <w:sz w:val="22"/>
        </w:rPr>
      </w:pPr>
    </w:p>
    <w:p>
      <w:pPr>
        <w:pStyle w:val="BodyText"/>
        <w:spacing w:before="10"/>
        <w:rPr>
          <w:b/>
          <w:sz w:val="24"/>
        </w:rPr>
      </w:pPr>
    </w:p>
    <w:p>
      <w:pPr>
        <w:pStyle w:val="BodyText"/>
        <w:spacing w:line="276" w:lineRule="auto"/>
        <w:ind w:left="726" w:right="693"/>
        <w:jc w:val="both"/>
      </w:pPr>
      <w:r>
        <w:rPr/>
        <w:t>Bir kontrolör veya işleyicinin kişisel verileri aktarmasının veya açıklamasının istendiği herhangi bir mahkeme veya kurul kararı ve üçüncü bir ülkenin idari bir makamının herhangi bir kararı, bu Bölüm uyarınca diğer aktarım gerekçelerine halel gelmeksizin, ancak talepte bulunan üçüncü ülke ve Birlik ya da bir üye devlet arasında yürürlükte bulunan bir karşılıklı hukuki yardım antlaşması gibi bir uluslararası anlaşmaya dayanması halinde, herhangi bir şekilde tanınabilir veya</w:t>
      </w:r>
      <w:r>
        <w:rPr>
          <w:spacing w:val="-10"/>
        </w:rPr>
        <w:t> </w:t>
      </w:r>
      <w:r>
        <w:rPr/>
        <w:t>uygulanabilir.</w:t>
      </w:r>
    </w:p>
    <w:p>
      <w:pPr>
        <w:pStyle w:val="BodyText"/>
        <w:rPr>
          <w:sz w:val="23"/>
        </w:rPr>
      </w:pPr>
    </w:p>
    <w:p>
      <w:pPr>
        <w:pStyle w:val="BodyText"/>
        <w:spacing w:line="278" w:lineRule="auto"/>
        <w:ind w:left="5035" w:right="5053"/>
        <w:jc w:val="center"/>
      </w:pPr>
      <w:r>
        <w:rPr/>
        <w:t>Madde 49</w:t>
      </w:r>
    </w:p>
    <w:p>
      <w:pPr>
        <w:pStyle w:val="BodyText"/>
        <w:spacing w:before="5"/>
        <w:rPr>
          <w:sz w:val="22"/>
        </w:rPr>
      </w:pPr>
    </w:p>
    <w:p>
      <w:pPr>
        <w:pStyle w:val="Heading1"/>
        <w:spacing w:line="276" w:lineRule="auto" w:before="1"/>
        <w:ind w:left="4026" w:right="4046"/>
      </w:pPr>
      <w:r>
        <w:rPr/>
        <w:t>Spesifik durumlara yönelik derogasyonlar</w:t>
      </w:r>
    </w:p>
    <w:p>
      <w:pPr>
        <w:pStyle w:val="BodyText"/>
        <w:rPr>
          <w:b/>
          <w:sz w:val="22"/>
        </w:rPr>
      </w:pPr>
    </w:p>
    <w:p>
      <w:pPr>
        <w:pStyle w:val="BodyText"/>
        <w:spacing w:before="9"/>
        <w:rPr>
          <w:b/>
          <w:sz w:val="24"/>
        </w:rPr>
      </w:pPr>
    </w:p>
    <w:p>
      <w:pPr>
        <w:pStyle w:val="ListParagraph"/>
        <w:numPr>
          <w:ilvl w:val="0"/>
          <w:numId w:val="88"/>
        </w:numPr>
        <w:tabs>
          <w:tab w:pos="960" w:val="left" w:leader="none"/>
        </w:tabs>
        <w:spacing w:line="276" w:lineRule="auto" w:before="1" w:after="0"/>
        <w:ind w:left="726" w:right="697" w:firstLine="0"/>
        <w:jc w:val="both"/>
        <w:rPr>
          <w:sz w:val="20"/>
        </w:rPr>
      </w:pPr>
      <w:r>
        <w:rPr>
          <w:sz w:val="20"/>
        </w:rPr>
        <w:t>45(3) maddesi uyarınca bir yeterlilik kararı veya bağlayıcı kurumsal kurallar da dahil olmak üzere 46. madde uyarınca uygun güvenceler olmaması durumunda, kişisel verilerin veya bir kişisel veri dizisinin üçüncü bir ülkeye veya uluslararası bir kuruluşa aktarılması ancak aşağıdaki durumların birinde gerçekleşir:</w:t>
      </w:r>
    </w:p>
    <w:p>
      <w:pPr>
        <w:pStyle w:val="BodyText"/>
        <w:rPr>
          <w:sz w:val="22"/>
        </w:rPr>
      </w:pPr>
    </w:p>
    <w:p>
      <w:pPr>
        <w:pStyle w:val="BodyText"/>
        <w:spacing w:before="9"/>
        <w:rPr>
          <w:sz w:val="24"/>
        </w:rPr>
      </w:pPr>
    </w:p>
    <w:p>
      <w:pPr>
        <w:pStyle w:val="ListParagraph"/>
        <w:numPr>
          <w:ilvl w:val="0"/>
          <w:numId w:val="89"/>
        </w:numPr>
        <w:tabs>
          <w:tab w:pos="1096" w:val="left" w:leader="none"/>
        </w:tabs>
        <w:spacing w:line="276" w:lineRule="auto" w:before="0" w:after="0"/>
        <w:ind w:left="1022" w:right="692" w:hanging="296"/>
        <w:jc w:val="both"/>
        <w:rPr>
          <w:sz w:val="20"/>
        </w:rPr>
      </w:pPr>
      <w:r>
        <w:rPr>
          <w:sz w:val="20"/>
        </w:rPr>
        <w:t>veri sahibinin, bir yeterlilik kararı ve uygun güvencelerin bulunmaması nedeniyle söz konusu aktarımların kendisine yönelik risklerin haberdar edilmesinin ardından, önerilen aktarıma açık bir şekilde rıza</w:t>
      </w:r>
      <w:r>
        <w:rPr>
          <w:spacing w:val="-4"/>
          <w:sz w:val="20"/>
        </w:rPr>
        <w:t> </w:t>
      </w:r>
      <w:r>
        <w:rPr>
          <w:sz w:val="20"/>
        </w:rPr>
        <w:t>göstermesi;</w:t>
      </w:r>
    </w:p>
    <w:p>
      <w:pPr>
        <w:pStyle w:val="BodyText"/>
        <w:spacing w:before="8"/>
        <w:rPr>
          <w:sz w:val="23"/>
        </w:rPr>
      </w:pPr>
    </w:p>
    <w:p>
      <w:pPr>
        <w:pStyle w:val="ListParagraph"/>
        <w:numPr>
          <w:ilvl w:val="0"/>
          <w:numId w:val="89"/>
        </w:numPr>
        <w:tabs>
          <w:tab w:pos="1036" w:val="left" w:leader="none"/>
        </w:tabs>
        <w:spacing w:line="276" w:lineRule="auto" w:before="0" w:after="0"/>
        <w:ind w:left="1022" w:right="691" w:hanging="296"/>
        <w:jc w:val="both"/>
        <w:rPr>
          <w:sz w:val="20"/>
        </w:rPr>
      </w:pPr>
      <w:r>
        <w:rPr>
          <w:sz w:val="20"/>
        </w:rPr>
        <w:t>aktarımın veri sahibi ile kontrolör arasındaki bir sözleşmenin yürütülmesi veya veri sahibinin talebiyle alınan sözleşme öncesi tedbirlerin uygulanması açısından gerekli</w:t>
      </w:r>
      <w:r>
        <w:rPr>
          <w:spacing w:val="-13"/>
          <w:sz w:val="20"/>
        </w:rPr>
        <w:t> </w:t>
      </w:r>
      <w:r>
        <w:rPr>
          <w:sz w:val="20"/>
        </w:rPr>
        <w:t>olması;</w:t>
      </w:r>
    </w:p>
    <w:p>
      <w:pPr>
        <w:pStyle w:val="BodyText"/>
        <w:spacing w:before="8"/>
        <w:rPr>
          <w:sz w:val="23"/>
        </w:rPr>
      </w:pPr>
    </w:p>
    <w:p>
      <w:pPr>
        <w:pStyle w:val="ListParagraph"/>
        <w:numPr>
          <w:ilvl w:val="0"/>
          <w:numId w:val="89"/>
        </w:numPr>
        <w:tabs>
          <w:tab w:pos="1062" w:val="left" w:leader="none"/>
        </w:tabs>
        <w:spacing w:line="276" w:lineRule="auto" w:before="0" w:after="0"/>
        <w:ind w:left="1022" w:right="705" w:hanging="296"/>
        <w:jc w:val="both"/>
        <w:rPr>
          <w:sz w:val="20"/>
        </w:rPr>
      </w:pPr>
      <w:r>
        <w:rPr>
          <w:sz w:val="20"/>
        </w:rPr>
        <w:t>aktarımın kontrolör ile başka bir gerçek veya tüzel kişi arasında veri sahibi yararına yapılan bir sözleşmenin imzalanması veya yürütülmesi açısından gerekli</w:t>
      </w:r>
      <w:r>
        <w:rPr>
          <w:spacing w:val="-7"/>
          <w:sz w:val="20"/>
        </w:rPr>
        <w:t> </w:t>
      </w:r>
      <w:r>
        <w:rPr>
          <w:sz w:val="20"/>
        </w:rPr>
        <w:t>olması;</w:t>
      </w:r>
    </w:p>
    <w:p>
      <w:pPr>
        <w:pStyle w:val="BodyText"/>
        <w:spacing w:before="6"/>
        <w:rPr>
          <w:sz w:val="23"/>
        </w:rPr>
      </w:pPr>
    </w:p>
    <w:p>
      <w:pPr>
        <w:pStyle w:val="ListParagraph"/>
        <w:numPr>
          <w:ilvl w:val="0"/>
          <w:numId w:val="89"/>
        </w:numPr>
        <w:tabs>
          <w:tab w:pos="1027" w:val="left" w:leader="none"/>
        </w:tabs>
        <w:spacing w:line="240" w:lineRule="auto" w:before="0" w:after="0"/>
        <w:ind w:left="1026" w:right="0" w:hanging="300"/>
        <w:jc w:val="left"/>
        <w:rPr>
          <w:sz w:val="20"/>
        </w:rPr>
      </w:pPr>
      <w:r>
        <w:rPr>
          <w:sz w:val="20"/>
        </w:rPr>
        <w:t>aktarımın kamu yararına ilişkin önemli sebeplerden dolayı gerekli</w:t>
      </w:r>
      <w:r>
        <w:rPr>
          <w:spacing w:val="-15"/>
          <w:sz w:val="20"/>
        </w:rPr>
        <w:t> </w:t>
      </w:r>
      <w:r>
        <w:rPr>
          <w:sz w:val="20"/>
        </w:rPr>
        <w:t>olması;</w:t>
      </w:r>
    </w:p>
    <w:p>
      <w:pPr>
        <w:pStyle w:val="BodyText"/>
        <w:spacing w:before="9"/>
        <w:rPr>
          <w:sz w:val="26"/>
        </w:rPr>
      </w:pPr>
    </w:p>
    <w:p>
      <w:pPr>
        <w:pStyle w:val="ListParagraph"/>
        <w:numPr>
          <w:ilvl w:val="0"/>
          <w:numId w:val="89"/>
        </w:numPr>
        <w:tabs>
          <w:tab w:pos="1089" w:val="left" w:leader="none"/>
        </w:tabs>
        <w:spacing w:line="278" w:lineRule="auto" w:before="0" w:after="0"/>
        <w:ind w:left="726" w:right="684" w:firstLine="0"/>
        <w:jc w:val="both"/>
        <w:rPr>
          <w:sz w:val="20"/>
        </w:rPr>
      </w:pPr>
      <w:r>
        <w:rPr>
          <w:sz w:val="20"/>
        </w:rPr>
        <w:t>aktarımın yasal iddialarda bulunulması, bu iddiaların uygulanması veya savunulması açısından gerekli</w:t>
      </w:r>
      <w:r>
        <w:rPr>
          <w:spacing w:val="-3"/>
          <w:sz w:val="20"/>
        </w:rPr>
        <w:t> </w:t>
      </w:r>
      <w:r>
        <w:rPr>
          <w:sz w:val="20"/>
        </w:rPr>
        <w:t>olması;</w:t>
      </w:r>
    </w:p>
    <w:p>
      <w:pPr>
        <w:pStyle w:val="BodyText"/>
        <w:spacing w:before="8"/>
        <w:rPr>
          <w:sz w:val="23"/>
        </w:rPr>
      </w:pPr>
    </w:p>
    <w:p>
      <w:pPr>
        <w:pStyle w:val="ListParagraph"/>
        <w:numPr>
          <w:ilvl w:val="0"/>
          <w:numId w:val="89"/>
        </w:numPr>
        <w:tabs>
          <w:tab w:pos="1000" w:val="left" w:leader="none"/>
        </w:tabs>
        <w:spacing w:line="278" w:lineRule="auto" w:before="0" w:after="0"/>
        <w:ind w:left="1022" w:right="694" w:hanging="296"/>
        <w:jc w:val="both"/>
        <w:rPr>
          <w:sz w:val="20"/>
        </w:rPr>
      </w:pPr>
      <w:r>
        <w:rPr>
          <w:sz w:val="20"/>
        </w:rPr>
        <w:t>veri sahibinin fiziksel veya hukuki olarak rıza veremeyecek durumda olması halinde, aktarımın veri sahibi veya diğer kişilerin hayati menfaatlerinin korunması açısından gerekli</w:t>
      </w:r>
      <w:r>
        <w:rPr>
          <w:spacing w:val="-19"/>
          <w:sz w:val="20"/>
        </w:rPr>
        <w:t> </w:t>
      </w:r>
      <w:r>
        <w:rPr>
          <w:sz w:val="20"/>
        </w:rPr>
        <w:t>olması;</w:t>
      </w:r>
    </w:p>
    <w:p>
      <w:pPr>
        <w:pStyle w:val="BodyText"/>
        <w:spacing w:before="4"/>
        <w:rPr>
          <w:sz w:val="23"/>
        </w:rPr>
      </w:pPr>
    </w:p>
    <w:p>
      <w:pPr>
        <w:pStyle w:val="ListParagraph"/>
        <w:numPr>
          <w:ilvl w:val="0"/>
          <w:numId w:val="89"/>
        </w:numPr>
        <w:tabs>
          <w:tab w:pos="1029" w:val="left" w:leader="none"/>
        </w:tabs>
        <w:spacing w:line="276" w:lineRule="auto" w:before="0" w:after="0"/>
        <w:ind w:left="1022" w:right="702" w:hanging="296"/>
        <w:jc w:val="both"/>
        <w:rPr>
          <w:sz w:val="20"/>
        </w:rPr>
      </w:pPr>
      <w:r>
        <w:rPr>
          <w:sz w:val="20"/>
        </w:rPr>
        <w:t>aktarımın Birlik veya üye devlet hukukuna göre kamuoyuna bilgi sağlanmasının amaçlandığı ve genel olarak kamuoyu veya meşru bir menfaati gösterebilen herhangi bir kişi tarafından, ancak Birlik</w:t>
      </w:r>
      <w:r>
        <w:rPr>
          <w:spacing w:val="-39"/>
          <w:sz w:val="20"/>
        </w:rPr>
        <w:t> </w:t>
      </w:r>
      <w:r>
        <w:rPr>
          <w:sz w:val="20"/>
        </w:rPr>
        <w:t>veya</w:t>
      </w:r>
    </w:p>
    <w:p>
      <w:pPr>
        <w:spacing w:after="0" w:line="276" w:lineRule="auto"/>
        <w:jc w:val="both"/>
        <w:rPr>
          <w:sz w:val="20"/>
        </w:rPr>
        <w:sectPr>
          <w:pgSz w:w="11930" w:h="16850"/>
          <w:pgMar w:header="961" w:footer="0" w:top="1240" w:bottom="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line="276" w:lineRule="auto" w:before="66"/>
        <w:ind w:left="666" w:right="694"/>
        <w:jc w:val="both"/>
      </w:pPr>
      <w:r>
        <w:rPr/>
        <w:t>üye devlet hukuku çerçevesinde istişareye yönelik olarak ortaya konan koşullar ilgili durumda yerine getirildiği ölçüde, istişareye açık olan bir sicilden yapılması.</w:t>
      </w:r>
    </w:p>
    <w:p>
      <w:pPr>
        <w:pStyle w:val="BodyText"/>
        <w:spacing w:before="9"/>
        <w:rPr>
          <w:sz w:val="23"/>
        </w:rPr>
      </w:pPr>
    </w:p>
    <w:p>
      <w:pPr>
        <w:pStyle w:val="BodyText"/>
        <w:spacing w:line="276" w:lineRule="auto"/>
        <w:ind w:left="726" w:right="688"/>
        <w:jc w:val="both"/>
      </w:pPr>
      <w:r>
        <w:rPr/>
        <w:t>Bir aktarımın bağlayıcı kurumsal kurallara ilişkin hükümler de dahil olmak üzere 45 veya 46. maddedeki bir hükme dayanmadığı ve bu paragrafın ilk alt paragrafında atıfta bulunulan spesifik bir duruma ilişkin derogasyonların herhangi birine uygulanabilir olmadığı hallerde, ancak aktarımın yinelemeli olmaması, yalnızca sınırlı sayıda veri sahibini ilgilendirmesi, kontrolör tarafından gözetilen ve veri sahibinin menfaatleri veya hakları ile özgürlüklerinin ağır basmadığı zorlayıcı meşru menfaatler doğrultusunda gerekli olması ve kontrolörün veri aktarımı ile ilgili tüm durumları değerlendirmiş olması ve bu değerlendirmeye dayalı olarak kişisel verilerin korunması ile ilgili uygun güvenceler sağlamış olması durumunda, üçüncü bir ülke veya uluslararası bir kuruluşa yönelik bir aktarım gerçekleşebilir. Kontrolör denetim makamını aktarım hususunda bilgilendirir. Kontrolör, 13 ve 14. maddelerde atıfta bulunulan bilgilerin sağlanmasına ek olarak, veri sahibini aktarım ve gözetilen zorlayıcı meşru menfaatler hususunda bilgilendirir.</w:t>
      </w:r>
    </w:p>
    <w:p>
      <w:pPr>
        <w:pStyle w:val="BodyText"/>
        <w:spacing w:before="2"/>
        <w:rPr>
          <w:sz w:val="23"/>
        </w:rPr>
      </w:pPr>
    </w:p>
    <w:p>
      <w:pPr>
        <w:pStyle w:val="ListParagraph"/>
        <w:numPr>
          <w:ilvl w:val="0"/>
          <w:numId w:val="88"/>
        </w:numPr>
        <w:tabs>
          <w:tab w:pos="958" w:val="left" w:leader="none"/>
        </w:tabs>
        <w:spacing w:line="276" w:lineRule="auto" w:before="0" w:after="0"/>
        <w:ind w:left="726" w:right="696" w:firstLine="0"/>
        <w:jc w:val="both"/>
        <w:rPr>
          <w:sz w:val="20"/>
        </w:rPr>
      </w:pPr>
      <w:r>
        <w:rPr>
          <w:sz w:val="20"/>
        </w:rPr>
        <w:t>1. paragrafın ilk alt paragrafının (g) bendi uyarınca yapılacak bir aktarımda sicilde bulunan tüm kişisel verilere veya tüm kişisel veri kategorilerine yer verilmez. Sicilin meşru bir menfaati bulunan kişilerin istişaresine yönelik hallerde, yalnızca bu kişilerin talebi üzerine veya bu kişilerin alıcı olması halinde, aktarım</w:t>
      </w:r>
      <w:r>
        <w:rPr>
          <w:spacing w:val="3"/>
          <w:sz w:val="20"/>
        </w:rPr>
        <w:t> </w:t>
      </w:r>
      <w:r>
        <w:rPr>
          <w:sz w:val="20"/>
        </w:rPr>
        <w:t>yapılır.</w:t>
      </w:r>
    </w:p>
    <w:p>
      <w:pPr>
        <w:pStyle w:val="BodyText"/>
        <w:spacing w:before="2"/>
        <w:rPr>
          <w:sz w:val="27"/>
        </w:rPr>
      </w:pPr>
    </w:p>
    <w:p>
      <w:pPr>
        <w:pStyle w:val="ListParagraph"/>
        <w:numPr>
          <w:ilvl w:val="0"/>
          <w:numId w:val="88"/>
        </w:numPr>
        <w:tabs>
          <w:tab w:pos="953" w:val="left" w:leader="none"/>
        </w:tabs>
        <w:spacing w:line="276" w:lineRule="auto" w:before="0" w:after="0"/>
        <w:ind w:left="726" w:right="698" w:firstLine="0"/>
        <w:jc w:val="both"/>
        <w:rPr>
          <w:sz w:val="20"/>
        </w:rPr>
      </w:pPr>
      <w:r>
        <w:rPr>
          <w:sz w:val="20"/>
        </w:rPr>
        <w:t>1. paragrafın ilk alt paragrafının (a), (b) ve (c) bentleri ve ikinci alt paragrafı kamu yetkilerinin kullanımı hususunda kamu kuruluşları tarafından gerçekleştirilen faaliyetlere</w:t>
      </w:r>
      <w:r>
        <w:rPr>
          <w:spacing w:val="-6"/>
          <w:sz w:val="20"/>
        </w:rPr>
        <w:t> </w:t>
      </w:r>
      <w:r>
        <w:rPr>
          <w:sz w:val="20"/>
        </w:rPr>
        <w:t>uygulanmaz.</w:t>
      </w:r>
    </w:p>
    <w:p>
      <w:pPr>
        <w:pStyle w:val="BodyText"/>
        <w:rPr>
          <w:sz w:val="22"/>
        </w:rPr>
      </w:pPr>
    </w:p>
    <w:p>
      <w:pPr>
        <w:pStyle w:val="BodyText"/>
        <w:spacing w:before="1"/>
        <w:rPr>
          <w:sz w:val="24"/>
        </w:rPr>
      </w:pPr>
    </w:p>
    <w:p>
      <w:pPr>
        <w:pStyle w:val="ListParagraph"/>
        <w:numPr>
          <w:ilvl w:val="0"/>
          <w:numId w:val="88"/>
        </w:numPr>
        <w:tabs>
          <w:tab w:pos="989" w:val="left" w:leader="none"/>
        </w:tabs>
        <w:spacing w:line="276" w:lineRule="auto" w:before="0" w:after="0"/>
        <w:ind w:left="726" w:right="703" w:firstLine="0"/>
        <w:jc w:val="both"/>
        <w:rPr>
          <w:sz w:val="20"/>
        </w:rPr>
      </w:pPr>
      <w:r>
        <w:rPr>
          <w:sz w:val="20"/>
        </w:rPr>
        <w:t>1. paragrafın ilk alt paragrafının (d) bendinde atıfta bulunulan kamu yararı Birlik hukukunda veya kontrolörün tabi olduğu üye devlet hukukunda</w:t>
      </w:r>
      <w:r>
        <w:rPr>
          <w:spacing w:val="-8"/>
          <w:sz w:val="20"/>
        </w:rPr>
        <w:t> </w:t>
      </w:r>
      <w:r>
        <w:rPr>
          <w:sz w:val="20"/>
        </w:rPr>
        <w:t>tanınır.</w:t>
      </w:r>
    </w:p>
    <w:p>
      <w:pPr>
        <w:pStyle w:val="BodyText"/>
        <w:rPr>
          <w:sz w:val="22"/>
        </w:rPr>
      </w:pPr>
    </w:p>
    <w:p>
      <w:pPr>
        <w:pStyle w:val="BodyText"/>
        <w:spacing w:before="3"/>
        <w:rPr>
          <w:sz w:val="24"/>
        </w:rPr>
      </w:pPr>
    </w:p>
    <w:p>
      <w:pPr>
        <w:pStyle w:val="ListParagraph"/>
        <w:numPr>
          <w:ilvl w:val="0"/>
          <w:numId w:val="88"/>
        </w:numPr>
        <w:tabs>
          <w:tab w:pos="999" w:val="left" w:leader="none"/>
        </w:tabs>
        <w:spacing w:line="276" w:lineRule="auto" w:before="0" w:after="0"/>
        <w:ind w:left="726" w:right="693" w:firstLine="0"/>
        <w:jc w:val="both"/>
        <w:rPr>
          <w:sz w:val="20"/>
        </w:rPr>
      </w:pPr>
      <w:r>
        <w:rPr>
          <w:sz w:val="20"/>
        </w:rPr>
        <w:t>Bir yeterlilik kararı olmaması durumunda, Birlik veya üye devlet hukukunda, önemli kamu yararı sebeplerinden dolayı, spesifik kategorilerdeki kişisel verilerin üçüncü bir ülkeye veya uluslararası bir kuruluşa aktarılmasına ilişkin sınırlar açık bir şekilde konabilir. Üye devletler söz konusu hükümleri Komisyon’a</w:t>
      </w:r>
      <w:r>
        <w:rPr>
          <w:spacing w:val="-2"/>
          <w:sz w:val="20"/>
        </w:rPr>
        <w:t> </w:t>
      </w:r>
      <w:r>
        <w:rPr>
          <w:sz w:val="20"/>
        </w:rPr>
        <w:t>bildirir.</w:t>
      </w:r>
    </w:p>
    <w:p>
      <w:pPr>
        <w:pStyle w:val="BodyText"/>
        <w:rPr>
          <w:sz w:val="22"/>
        </w:rPr>
      </w:pPr>
    </w:p>
    <w:p>
      <w:pPr>
        <w:pStyle w:val="BodyText"/>
        <w:spacing w:before="11"/>
        <w:rPr>
          <w:sz w:val="23"/>
        </w:rPr>
      </w:pPr>
    </w:p>
    <w:p>
      <w:pPr>
        <w:pStyle w:val="ListParagraph"/>
        <w:numPr>
          <w:ilvl w:val="0"/>
          <w:numId w:val="88"/>
        </w:numPr>
        <w:tabs>
          <w:tab w:pos="1140" w:val="left" w:leader="none"/>
        </w:tabs>
        <w:spacing w:line="278" w:lineRule="auto" w:before="0" w:after="0"/>
        <w:ind w:left="726" w:right="698" w:firstLine="0"/>
        <w:jc w:val="both"/>
        <w:rPr>
          <w:sz w:val="20"/>
        </w:rPr>
      </w:pPr>
      <w:r>
        <w:rPr>
          <w:sz w:val="20"/>
        </w:rPr>
        <w:t>Kontrolör veya işleyici değerlendirmenin yanı sıra bu maddenin 1. paragrafının ikinci alt paragrafında atıfta bulunulan uygun güvenceleri 30. maddede atıfta bulunulan kayıtlarda</w:t>
      </w:r>
      <w:r>
        <w:rPr>
          <w:spacing w:val="-34"/>
          <w:sz w:val="20"/>
        </w:rPr>
        <w:t> </w:t>
      </w:r>
      <w:r>
        <w:rPr>
          <w:sz w:val="20"/>
        </w:rPr>
        <w:t>belgelendirir.</w:t>
      </w:r>
    </w:p>
    <w:p>
      <w:pPr>
        <w:pStyle w:val="BodyText"/>
        <w:spacing w:before="4"/>
        <w:rPr>
          <w:sz w:val="23"/>
        </w:rPr>
      </w:pPr>
    </w:p>
    <w:p>
      <w:pPr>
        <w:pStyle w:val="BodyText"/>
        <w:spacing w:line="276" w:lineRule="auto"/>
        <w:ind w:left="5035" w:right="5053"/>
        <w:jc w:val="center"/>
      </w:pPr>
      <w:r>
        <w:rPr/>
        <w:t>Madde 50</w:t>
      </w:r>
    </w:p>
    <w:p>
      <w:pPr>
        <w:pStyle w:val="BodyText"/>
        <w:spacing w:before="10"/>
        <w:rPr>
          <w:sz w:val="22"/>
        </w:rPr>
      </w:pPr>
    </w:p>
    <w:p>
      <w:pPr>
        <w:pStyle w:val="Heading1"/>
        <w:spacing w:line="276" w:lineRule="auto"/>
        <w:ind w:left="2928" w:right="2947"/>
      </w:pPr>
      <w:r>
        <w:rPr/>
        <w:t>Kişisel verilerin korunmasına yönelik uluslararası işbirliği</w:t>
      </w:r>
    </w:p>
    <w:p>
      <w:pPr>
        <w:pStyle w:val="BodyText"/>
        <w:rPr>
          <w:b/>
          <w:sz w:val="22"/>
        </w:rPr>
      </w:pPr>
    </w:p>
    <w:p>
      <w:pPr>
        <w:pStyle w:val="BodyText"/>
        <w:spacing w:before="10"/>
        <w:rPr>
          <w:b/>
          <w:sz w:val="24"/>
        </w:rPr>
      </w:pPr>
    </w:p>
    <w:p>
      <w:pPr>
        <w:pStyle w:val="BodyText"/>
        <w:spacing w:line="276" w:lineRule="auto"/>
        <w:ind w:left="726" w:right="702"/>
        <w:jc w:val="both"/>
      </w:pPr>
      <w:r>
        <w:rPr/>
        <w:t>Üçüncü ülkeler ve uluslararası kuruluşlar ile ilgili olarak, Komisyon ve denetim makamları şunlara yönelik uygun adımları atar:</w:t>
      </w:r>
    </w:p>
    <w:p>
      <w:pPr>
        <w:pStyle w:val="BodyText"/>
        <w:rPr>
          <w:sz w:val="22"/>
        </w:rPr>
      </w:pPr>
    </w:p>
    <w:p>
      <w:pPr>
        <w:pStyle w:val="BodyText"/>
        <w:spacing w:before="1"/>
        <w:rPr>
          <w:sz w:val="25"/>
        </w:rPr>
      </w:pPr>
    </w:p>
    <w:p>
      <w:pPr>
        <w:pStyle w:val="ListParagraph"/>
        <w:numPr>
          <w:ilvl w:val="0"/>
          <w:numId w:val="90"/>
        </w:numPr>
        <w:tabs>
          <w:tab w:pos="1034" w:val="left" w:leader="none"/>
        </w:tabs>
        <w:spacing w:line="278" w:lineRule="auto" w:before="0" w:after="0"/>
        <w:ind w:left="1022" w:right="690" w:hanging="296"/>
        <w:jc w:val="both"/>
        <w:rPr>
          <w:sz w:val="20"/>
        </w:rPr>
      </w:pPr>
      <w:r>
        <w:rPr>
          <w:sz w:val="20"/>
        </w:rPr>
        <w:t>kişisel verilerin korunmasına yönelik mevzuatın etkili bir şekilde uygulanmasının kolaylaştırılması için uluslararası işbirliği mekanizmalarının</w:t>
      </w:r>
      <w:r>
        <w:rPr>
          <w:spacing w:val="-5"/>
          <w:sz w:val="20"/>
        </w:rPr>
        <w:t> </w:t>
      </w:r>
      <w:r>
        <w:rPr>
          <w:sz w:val="20"/>
        </w:rPr>
        <w:t>geliştirilmesi;</w:t>
      </w:r>
    </w:p>
    <w:p>
      <w:pPr>
        <w:pStyle w:val="BodyText"/>
        <w:rPr>
          <w:sz w:val="24"/>
        </w:rPr>
      </w:pPr>
    </w:p>
    <w:p>
      <w:pPr>
        <w:pStyle w:val="ListParagraph"/>
        <w:numPr>
          <w:ilvl w:val="0"/>
          <w:numId w:val="90"/>
        </w:numPr>
        <w:tabs>
          <w:tab w:pos="1063" w:val="left" w:leader="none"/>
        </w:tabs>
        <w:spacing w:line="276" w:lineRule="auto" w:before="0" w:after="0"/>
        <w:ind w:left="1022" w:right="693" w:hanging="296"/>
        <w:jc w:val="both"/>
        <w:rPr>
          <w:sz w:val="20"/>
        </w:rPr>
      </w:pPr>
      <w:r>
        <w:rPr>
          <w:sz w:val="20"/>
        </w:rPr>
        <w:t>kişisel veriler ve diğer temel haklar ile özgürlüklerin korunmasına yönelik uygun güvencelere tabi olarak, bildirim, şikayet yönlendirme, soruşturma desteği ve bilgi alışverişi de dahil olmak üzere  kişisel verilerin korunmasına yönelik mevzuatın uygulanması hususunda karşılıklı uluslararası yardım sağlanması;</w:t>
      </w:r>
    </w:p>
    <w:p>
      <w:pPr>
        <w:pStyle w:val="BodyText"/>
        <w:spacing w:before="2"/>
        <w:rPr>
          <w:sz w:val="24"/>
        </w:rPr>
      </w:pPr>
    </w:p>
    <w:p>
      <w:pPr>
        <w:pStyle w:val="BodyText"/>
        <w:spacing w:before="1"/>
        <w:ind w:left="729"/>
        <w:jc w:val="both"/>
      </w:pPr>
      <w:r>
        <w:rPr/>
        <w:t>(b) ilgili paydaşların kişisel verilerin korunmasına yönelik mevzuatın uygulanmasına ilişkin uluslararası</w:t>
      </w:r>
    </w:p>
    <w:p>
      <w:pPr>
        <w:spacing w:after="0"/>
        <w:jc w:val="both"/>
        <w:sectPr>
          <w:pgSz w:w="11930" w:h="16850"/>
          <w:pgMar w:header="961" w:footer="0" w:top="1240" w:bottom="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before="66"/>
        <w:ind w:left="1089"/>
      </w:pPr>
      <w:r>
        <w:rPr/>
        <w:t>işbirliğinin ilerletilmesiyle ilgili görüşmeler ve faaliyetlere dahil edilmesi;</w:t>
      </w:r>
    </w:p>
    <w:p>
      <w:pPr>
        <w:pStyle w:val="BodyText"/>
        <w:rPr>
          <w:sz w:val="22"/>
        </w:rPr>
      </w:pPr>
    </w:p>
    <w:p>
      <w:pPr>
        <w:pStyle w:val="BodyText"/>
        <w:spacing w:line="276" w:lineRule="auto" w:before="139"/>
        <w:ind w:left="726" w:right="703"/>
        <w:jc w:val="both"/>
      </w:pPr>
      <w:r>
        <w:rPr/>
        <w:t>(d) üçüncü ülkelerle yargı yetkisine ilişkin olarak yaşanan anlaşmazlıklar da dahil olmak üzere kişisel veri koruma mevzuatı ve uygulamasının paylaşımı ve belgelendirmesinin teşvik edilmesi.</w:t>
      </w:r>
    </w:p>
    <w:p>
      <w:pPr>
        <w:pStyle w:val="BodyText"/>
        <w:rPr>
          <w:sz w:val="22"/>
        </w:rPr>
      </w:pPr>
    </w:p>
    <w:p>
      <w:pPr>
        <w:pStyle w:val="BodyText"/>
        <w:spacing w:before="10"/>
        <w:rPr>
          <w:sz w:val="24"/>
        </w:rPr>
      </w:pPr>
    </w:p>
    <w:p>
      <w:pPr>
        <w:pStyle w:val="BodyText"/>
        <w:ind w:left="2207" w:right="2227"/>
        <w:jc w:val="center"/>
      </w:pPr>
      <w:r>
        <w:rPr/>
        <w:t>BÖLÜM VI</w:t>
      </w:r>
    </w:p>
    <w:p>
      <w:pPr>
        <w:pStyle w:val="BodyText"/>
        <w:spacing w:before="2"/>
        <w:rPr>
          <w:sz w:val="26"/>
        </w:rPr>
      </w:pPr>
    </w:p>
    <w:p>
      <w:pPr>
        <w:pStyle w:val="Heading1"/>
        <w:ind w:left="2205"/>
      </w:pPr>
      <w:r>
        <w:rPr/>
        <w:t>Bağımsız denetim makamları</w:t>
      </w:r>
    </w:p>
    <w:p>
      <w:pPr>
        <w:pStyle w:val="BodyText"/>
        <w:spacing w:before="8"/>
        <w:rPr>
          <w:b/>
          <w:sz w:val="26"/>
        </w:rPr>
      </w:pPr>
    </w:p>
    <w:p>
      <w:pPr>
        <w:pStyle w:val="BodyText"/>
        <w:spacing w:before="1"/>
        <w:ind w:left="2207" w:right="2222"/>
        <w:jc w:val="center"/>
      </w:pPr>
      <w:r>
        <w:rPr/>
        <w:t>Kesim 1</w:t>
      </w:r>
    </w:p>
    <w:p>
      <w:pPr>
        <w:pStyle w:val="BodyText"/>
        <w:spacing w:before="1"/>
        <w:rPr>
          <w:sz w:val="26"/>
        </w:rPr>
      </w:pPr>
    </w:p>
    <w:p>
      <w:pPr>
        <w:pStyle w:val="Heading1"/>
        <w:spacing w:before="1"/>
        <w:ind w:right="2207"/>
      </w:pPr>
      <w:r>
        <w:rPr/>
        <w:t>Bağımsız statü</w:t>
      </w:r>
    </w:p>
    <w:p>
      <w:pPr>
        <w:pStyle w:val="BodyText"/>
        <w:rPr>
          <w:b/>
          <w:sz w:val="22"/>
        </w:rPr>
      </w:pPr>
    </w:p>
    <w:p>
      <w:pPr>
        <w:pStyle w:val="BodyText"/>
        <w:spacing w:before="5"/>
        <w:rPr>
          <w:b/>
          <w:sz w:val="27"/>
        </w:rPr>
      </w:pPr>
    </w:p>
    <w:p>
      <w:pPr>
        <w:pStyle w:val="BodyText"/>
        <w:spacing w:line="276" w:lineRule="auto"/>
        <w:ind w:left="5035" w:right="5053"/>
        <w:jc w:val="center"/>
      </w:pPr>
      <w:r>
        <w:rPr/>
        <w:t>Madde 51</w:t>
      </w:r>
    </w:p>
    <w:p>
      <w:pPr>
        <w:pStyle w:val="BodyText"/>
        <w:rPr>
          <w:sz w:val="22"/>
        </w:rPr>
      </w:pPr>
    </w:p>
    <w:p>
      <w:pPr>
        <w:pStyle w:val="BodyText"/>
        <w:spacing w:before="1"/>
        <w:rPr>
          <w:sz w:val="24"/>
        </w:rPr>
      </w:pPr>
    </w:p>
    <w:p>
      <w:pPr>
        <w:pStyle w:val="Heading1"/>
        <w:ind w:left="2205"/>
      </w:pPr>
      <w:r>
        <w:rPr/>
        <w:t>Denetim makamı</w:t>
      </w:r>
    </w:p>
    <w:p>
      <w:pPr>
        <w:pStyle w:val="BodyText"/>
        <w:rPr>
          <w:b/>
          <w:sz w:val="22"/>
        </w:rPr>
      </w:pPr>
    </w:p>
    <w:p>
      <w:pPr>
        <w:pStyle w:val="BodyText"/>
        <w:spacing w:before="10"/>
        <w:rPr>
          <w:b/>
          <w:sz w:val="27"/>
        </w:rPr>
      </w:pPr>
    </w:p>
    <w:p>
      <w:pPr>
        <w:pStyle w:val="ListParagraph"/>
        <w:numPr>
          <w:ilvl w:val="0"/>
          <w:numId w:val="91"/>
        </w:numPr>
        <w:tabs>
          <w:tab w:pos="1140" w:val="left" w:leader="none"/>
        </w:tabs>
        <w:spacing w:line="276" w:lineRule="auto" w:before="0" w:after="0"/>
        <w:ind w:left="726" w:right="694" w:firstLine="0"/>
        <w:jc w:val="both"/>
        <w:rPr>
          <w:sz w:val="20"/>
        </w:rPr>
      </w:pPr>
      <w:r>
        <w:rPr>
          <w:sz w:val="20"/>
        </w:rPr>
        <w:t>Her üye devlet, gerçek kişilerin işleme faaliyeti ile ilgili temel hakları ve özgürlüklerini korumak ve Birlik içerisinde kişisel verilerin serbest akışını kolaylaştırmak üzere, bir ya da daha fazla sayıda bağımsız kamu kuruluşunun bu Tüzük’ün uygulamasının izlenmesinden sorumlu olmasını sağlar (’denetim makamı’).</w:t>
      </w:r>
    </w:p>
    <w:p>
      <w:pPr>
        <w:pStyle w:val="BodyText"/>
        <w:rPr>
          <w:sz w:val="22"/>
        </w:rPr>
      </w:pPr>
    </w:p>
    <w:p>
      <w:pPr>
        <w:pStyle w:val="BodyText"/>
        <w:spacing w:before="3"/>
        <w:rPr>
          <w:sz w:val="24"/>
        </w:rPr>
      </w:pPr>
    </w:p>
    <w:p>
      <w:pPr>
        <w:pStyle w:val="ListParagraph"/>
        <w:numPr>
          <w:ilvl w:val="0"/>
          <w:numId w:val="91"/>
        </w:numPr>
        <w:tabs>
          <w:tab w:pos="970" w:val="left" w:leader="none"/>
        </w:tabs>
        <w:spacing w:line="276" w:lineRule="auto" w:before="0" w:after="0"/>
        <w:ind w:left="726" w:right="689" w:firstLine="0"/>
        <w:jc w:val="both"/>
        <w:rPr>
          <w:sz w:val="20"/>
        </w:rPr>
      </w:pPr>
      <w:r>
        <w:rPr>
          <w:sz w:val="20"/>
        </w:rPr>
        <w:t>Her denetim makamı bu Tüzük’ün Birlik içerisinde tutarlı bir şekilde uygulanmasına katkıda bulunur. Bu amaç doğrultusunda, denetim makamları Bölüm VII uyarınca birbirleriyle ve Komisyon ile işbirliği yapar.</w:t>
      </w:r>
    </w:p>
    <w:p>
      <w:pPr>
        <w:pStyle w:val="BodyText"/>
        <w:rPr>
          <w:sz w:val="22"/>
        </w:rPr>
      </w:pPr>
    </w:p>
    <w:p>
      <w:pPr>
        <w:pStyle w:val="BodyText"/>
        <w:rPr>
          <w:sz w:val="24"/>
        </w:rPr>
      </w:pPr>
    </w:p>
    <w:p>
      <w:pPr>
        <w:pStyle w:val="ListParagraph"/>
        <w:numPr>
          <w:ilvl w:val="0"/>
          <w:numId w:val="91"/>
        </w:numPr>
        <w:tabs>
          <w:tab w:pos="1140" w:val="left" w:leader="none"/>
        </w:tabs>
        <w:spacing w:line="276" w:lineRule="auto" w:before="0" w:after="0"/>
        <w:ind w:left="726" w:right="696" w:firstLine="0"/>
        <w:jc w:val="both"/>
        <w:rPr>
          <w:sz w:val="20"/>
        </w:rPr>
      </w:pPr>
      <w:r>
        <w:rPr>
          <w:sz w:val="20"/>
        </w:rPr>
        <w:t>Bir üye devlette birden fazla denetim makamının kurulduğu hallerde, söz konusu üye devlet bu makamları Kurul’da temsil edecek denetim makamını tayin eder ve diğer makamların 63. maddede atıfta bulunulan</w:t>
      </w:r>
      <w:r>
        <w:rPr>
          <w:spacing w:val="-6"/>
          <w:sz w:val="20"/>
        </w:rPr>
        <w:t> </w:t>
      </w:r>
      <w:r>
        <w:rPr>
          <w:sz w:val="20"/>
        </w:rPr>
        <w:t>tutarlılık</w:t>
      </w:r>
      <w:r>
        <w:rPr>
          <w:spacing w:val="-6"/>
          <w:sz w:val="20"/>
        </w:rPr>
        <w:t> </w:t>
      </w:r>
      <w:r>
        <w:rPr>
          <w:sz w:val="20"/>
        </w:rPr>
        <w:t>mekanizmasına</w:t>
      </w:r>
      <w:r>
        <w:rPr>
          <w:spacing w:val="-7"/>
          <w:sz w:val="20"/>
        </w:rPr>
        <w:t> </w:t>
      </w:r>
      <w:r>
        <w:rPr>
          <w:sz w:val="20"/>
        </w:rPr>
        <w:t>ilişkin</w:t>
      </w:r>
      <w:r>
        <w:rPr>
          <w:spacing w:val="-7"/>
          <w:sz w:val="20"/>
        </w:rPr>
        <w:t> </w:t>
      </w:r>
      <w:r>
        <w:rPr>
          <w:sz w:val="20"/>
        </w:rPr>
        <w:t>kurallara</w:t>
      </w:r>
      <w:r>
        <w:rPr>
          <w:spacing w:val="-7"/>
          <w:sz w:val="20"/>
        </w:rPr>
        <w:t> </w:t>
      </w:r>
      <w:r>
        <w:rPr>
          <w:sz w:val="20"/>
        </w:rPr>
        <w:t>uyumluluğunu</w:t>
      </w:r>
      <w:r>
        <w:rPr>
          <w:spacing w:val="-7"/>
          <w:sz w:val="20"/>
        </w:rPr>
        <w:t> </w:t>
      </w:r>
      <w:r>
        <w:rPr>
          <w:sz w:val="20"/>
        </w:rPr>
        <w:t>sağlayacak</w:t>
      </w:r>
      <w:r>
        <w:rPr>
          <w:spacing w:val="-6"/>
          <w:sz w:val="20"/>
        </w:rPr>
        <w:t> </w:t>
      </w:r>
      <w:r>
        <w:rPr>
          <w:sz w:val="20"/>
        </w:rPr>
        <w:t>mekanizmayı</w:t>
      </w:r>
      <w:r>
        <w:rPr>
          <w:spacing w:val="-6"/>
          <w:sz w:val="20"/>
        </w:rPr>
        <w:t> </w:t>
      </w:r>
      <w:r>
        <w:rPr>
          <w:sz w:val="20"/>
        </w:rPr>
        <w:t>ortaya</w:t>
      </w:r>
      <w:r>
        <w:rPr>
          <w:spacing w:val="-7"/>
          <w:sz w:val="20"/>
        </w:rPr>
        <w:t> </w:t>
      </w:r>
      <w:r>
        <w:rPr>
          <w:sz w:val="20"/>
        </w:rPr>
        <w:t>koyar.</w:t>
      </w:r>
    </w:p>
    <w:p>
      <w:pPr>
        <w:pStyle w:val="BodyText"/>
        <w:spacing w:before="1"/>
        <w:rPr>
          <w:sz w:val="23"/>
        </w:rPr>
      </w:pPr>
    </w:p>
    <w:p>
      <w:pPr>
        <w:pStyle w:val="ListParagraph"/>
        <w:numPr>
          <w:ilvl w:val="0"/>
          <w:numId w:val="91"/>
        </w:numPr>
        <w:tabs>
          <w:tab w:pos="977" w:val="left" w:leader="none"/>
        </w:tabs>
        <w:spacing w:line="276" w:lineRule="auto" w:before="0" w:after="0"/>
        <w:ind w:left="726" w:right="691" w:firstLine="0"/>
        <w:jc w:val="both"/>
        <w:rPr>
          <w:sz w:val="20"/>
        </w:rPr>
      </w:pPr>
      <w:r>
        <w:rPr>
          <w:sz w:val="20"/>
        </w:rPr>
        <w:t>Her üye devlet bu Bölüm uyarınca kabul ettiği kanun hükümlerini 25 Mayıs 2018 tarihine kadar ve bunları</w:t>
      </w:r>
      <w:r>
        <w:rPr>
          <w:spacing w:val="-6"/>
          <w:sz w:val="20"/>
        </w:rPr>
        <w:t> </w:t>
      </w:r>
      <w:r>
        <w:rPr>
          <w:sz w:val="20"/>
        </w:rPr>
        <w:t>etkileyen</w:t>
      </w:r>
      <w:r>
        <w:rPr>
          <w:spacing w:val="-6"/>
          <w:sz w:val="20"/>
        </w:rPr>
        <w:t> </w:t>
      </w:r>
      <w:r>
        <w:rPr>
          <w:sz w:val="20"/>
        </w:rPr>
        <w:t>sonraki</w:t>
      </w:r>
      <w:r>
        <w:rPr>
          <w:spacing w:val="-6"/>
          <w:sz w:val="20"/>
        </w:rPr>
        <w:t> </w:t>
      </w:r>
      <w:r>
        <w:rPr>
          <w:sz w:val="20"/>
        </w:rPr>
        <w:t>değişiklikleri,</w:t>
      </w:r>
      <w:r>
        <w:rPr>
          <w:spacing w:val="-6"/>
          <w:sz w:val="20"/>
        </w:rPr>
        <w:t> </w:t>
      </w:r>
      <w:r>
        <w:rPr>
          <w:sz w:val="20"/>
        </w:rPr>
        <w:t>herhangi</w:t>
      </w:r>
      <w:r>
        <w:rPr>
          <w:spacing w:val="-5"/>
          <w:sz w:val="20"/>
        </w:rPr>
        <w:t> </w:t>
      </w:r>
      <w:r>
        <w:rPr>
          <w:sz w:val="20"/>
        </w:rPr>
        <w:t>bir</w:t>
      </w:r>
      <w:r>
        <w:rPr>
          <w:spacing w:val="-3"/>
          <w:sz w:val="20"/>
        </w:rPr>
        <w:t> </w:t>
      </w:r>
      <w:r>
        <w:rPr>
          <w:sz w:val="20"/>
        </w:rPr>
        <w:t>gecikmeye</w:t>
      </w:r>
      <w:r>
        <w:rPr>
          <w:spacing w:val="-4"/>
          <w:sz w:val="20"/>
        </w:rPr>
        <w:t> </w:t>
      </w:r>
      <w:r>
        <w:rPr>
          <w:sz w:val="20"/>
        </w:rPr>
        <w:t>mahal</w:t>
      </w:r>
      <w:r>
        <w:rPr>
          <w:spacing w:val="-6"/>
          <w:sz w:val="20"/>
        </w:rPr>
        <w:t> </w:t>
      </w:r>
      <w:r>
        <w:rPr>
          <w:sz w:val="20"/>
        </w:rPr>
        <w:t>vermeksizin,</w:t>
      </w:r>
      <w:r>
        <w:rPr>
          <w:spacing w:val="-4"/>
          <w:sz w:val="20"/>
        </w:rPr>
        <w:t> </w:t>
      </w:r>
      <w:r>
        <w:rPr>
          <w:sz w:val="20"/>
        </w:rPr>
        <w:t>Komisyon’a</w:t>
      </w:r>
      <w:r>
        <w:rPr>
          <w:spacing w:val="-6"/>
          <w:sz w:val="20"/>
        </w:rPr>
        <w:t> </w:t>
      </w:r>
      <w:r>
        <w:rPr>
          <w:sz w:val="20"/>
        </w:rPr>
        <w:t>bildirir.</w:t>
      </w:r>
    </w:p>
    <w:p>
      <w:pPr>
        <w:pStyle w:val="BodyText"/>
        <w:spacing w:before="9"/>
        <w:rPr>
          <w:sz w:val="25"/>
        </w:rPr>
      </w:pPr>
    </w:p>
    <w:p>
      <w:pPr>
        <w:pStyle w:val="BodyText"/>
        <w:spacing w:line="278" w:lineRule="auto"/>
        <w:ind w:left="5035" w:right="5053"/>
        <w:jc w:val="center"/>
      </w:pPr>
      <w:r>
        <w:rPr/>
        <w:t>Madde 52</w:t>
      </w:r>
    </w:p>
    <w:p>
      <w:pPr>
        <w:pStyle w:val="BodyText"/>
        <w:rPr>
          <w:sz w:val="22"/>
        </w:rPr>
      </w:pPr>
    </w:p>
    <w:p>
      <w:pPr>
        <w:pStyle w:val="BodyText"/>
        <w:rPr>
          <w:sz w:val="24"/>
        </w:rPr>
      </w:pPr>
    </w:p>
    <w:p>
      <w:pPr>
        <w:pStyle w:val="Heading1"/>
        <w:spacing w:before="1"/>
        <w:ind w:left="2204"/>
      </w:pPr>
      <w:r>
        <w:rPr/>
        <w:t>Bağımsızlık</w:t>
      </w:r>
    </w:p>
    <w:p>
      <w:pPr>
        <w:pStyle w:val="BodyText"/>
        <w:rPr>
          <w:b/>
          <w:sz w:val="22"/>
        </w:rPr>
      </w:pPr>
    </w:p>
    <w:p>
      <w:pPr>
        <w:pStyle w:val="BodyText"/>
        <w:spacing w:before="3"/>
        <w:rPr>
          <w:b/>
          <w:sz w:val="27"/>
        </w:rPr>
      </w:pPr>
    </w:p>
    <w:p>
      <w:pPr>
        <w:pStyle w:val="ListParagraph"/>
        <w:numPr>
          <w:ilvl w:val="0"/>
          <w:numId w:val="92"/>
        </w:numPr>
        <w:tabs>
          <w:tab w:pos="1020" w:val="left" w:leader="none"/>
        </w:tabs>
        <w:spacing w:line="276" w:lineRule="auto" w:before="0" w:after="0"/>
        <w:ind w:left="726" w:right="701" w:firstLine="0"/>
        <w:jc w:val="both"/>
        <w:rPr>
          <w:sz w:val="20"/>
        </w:rPr>
      </w:pPr>
      <w:r>
        <w:rPr>
          <w:sz w:val="20"/>
        </w:rPr>
        <w:t>Her denetim makamı bu Tüzük uyarınca görevlerini yerine getirirken ve yetkilerini kullanırken tamamen bağımsız olarak hareket</w:t>
      </w:r>
      <w:r>
        <w:rPr>
          <w:spacing w:val="-5"/>
          <w:sz w:val="20"/>
        </w:rPr>
        <w:t> </w:t>
      </w:r>
      <w:r>
        <w:rPr>
          <w:sz w:val="20"/>
        </w:rPr>
        <w:t>eder.</w:t>
      </w:r>
    </w:p>
    <w:p>
      <w:pPr>
        <w:pStyle w:val="BodyText"/>
        <w:rPr>
          <w:sz w:val="22"/>
        </w:rPr>
      </w:pPr>
    </w:p>
    <w:p>
      <w:pPr>
        <w:pStyle w:val="BodyText"/>
        <w:spacing w:before="3"/>
        <w:rPr>
          <w:sz w:val="24"/>
        </w:rPr>
      </w:pPr>
    </w:p>
    <w:p>
      <w:pPr>
        <w:pStyle w:val="ListParagraph"/>
        <w:numPr>
          <w:ilvl w:val="0"/>
          <w:numId w:val="92"/>
        </w:numPr>
        <w:tabs>
          <w:tab w:pos="1011" w:val="left" w:leader="none"/>
        </w:tabs>
        <w:spacing w:line="276" w:lineRule="auto" w:before="0" w:after="0"/>
        <w:ind w:left="726" w:right="700" w:firstLine="0"/>
        <w:jc w:val="both"/>
        <w:rPr>
          <w:sz w:val="20"/>
        </w:rPr>
      </w:pPr>
      <w:r>
        <w:rPr>
          <w:sz w:val="20"/>
        </w:rPr>
        <w:t>Her denetim makamının üyesi veya üyeleri, bu Tüzük uyarınca görevlerini yerine getirirken ve yetkilerini kullanırken, doğrudan veya dolaylı dış etkilerden bağımsız hareket eder ve hiç kimseden talimat talebinde bulunmaz veya talimat</w:t>
      </w:r>
      <w:r>
        <w:rPr>
          <w:spacing w:val="-5"/>
          <w:sz w:val="20"/>
        </w:rPr>
        <w:t> </w:t>
      </w:r>
      <w:r>
        <w:rPr>
          <w:sz w:val="20"/>
        </w:rPr>
        <w:t>almaz.</w:t>
      </w:r>
    </w:p>
    <w:p>
      <w:pPr>
        <w:pStyle w:val="BodyText"/>
        <w:rPr>
          <w:sz w:val="22"/>
        </w:rPr>
      </w:pPr>
    </w:p>
    <w:p>
      <w:pPr>
        <w:pStyle w:val="BodyText"/>
        <w:spacing w:before="7"/>
        <w:rPr>
          <w:sz w:val="24"/>
        </w:rPr>
      </w:pPr>
    </w:p>
    <w:p>
      <w:pPr>
        <w:pStyle w:val="ListParagraph"/>
        <w:numPr>
          <w:ilvl w:val="0"/>
          <w:numId w:val="92"/>
        </w:numPr>
        <w:tabs>
          <w:tab w:pos="948" w:val="left" w:leader="none"/>
        </w:tabs>
        <w:spacing w:line="240" w:lineRule="auto" w:before="1" w:after="0"/>
        <w:ind w:left="947" w:right="0" w:hanging="221"/>
        <w:jc w:val="both"/>
        <w:rPr>
          <w:sz w:val="20"/>
        </w:rPr>
      </w:pPr>
      <w:r>
        <w:rPr>
          <w:sz w:val="20"/>
        </w:rPr>
        <w:t>Her denetim makamının üyesi veya üyeleri görevlerine uygun olmayan eylemlerden kaçınır ve,</w:t>
      </w:r>
      <w:r>
        <w:rPr>
          <w:spacing w:val="-31"/>
          <w:sz w:val="20"/>
        </w:rPr>
        <w:t> </w:t>
      </w:r>
      <w:r>
        <w:rPr>
          <w:sz w:val="20"/>
        </w:rPr>
        <w:t>görev</w:t>
      </w:r>
    </w:p>
    <w:p>
      <w:pPr>
        <w:spacing w:after="0" w:line="240" w:lineRule="auto"/>
        <w:jc w:val="both"/>
        <w:rPr>
          <w:sz w:val="20"/>
        </w:rPr>
        <w:sectPr>
          <w:pgSz w:w="11930" w:h="16850"/>
          <w:pgMar w:header="961" w:footer="0" w:top="1240" w:bottom="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before="66"/>
        <w:ind w:left="726"/>
      </w:pPr>
      <w:r>
        <w:rPr/>
        <w:t>süreleri boyunca, maddi getirisi olsun ya da olmasın, bu göreve uygun olmayan hiçbir işle iştigal etmez.</w:t>
      </w:r>
    </w:p>
    <w:p>
      <w:pPr>
        <w:pStyle w:val="BodyText"/>
        <w:spacing w:before="2"/>
        <w:rPr>
          <w:sz w:val="26"/>
        </w:rPr>
      </w:pPr>
    </w:p>
    <w:p>
      <w:pPr>
        <w:pStyle w:val="ListParagraph"/>
        <w:numPr>
          <w:ilvl w:val="0"/>
          <w:numId w:val="92"/>
        </w:numPr>
        <w:tabs>
          <w:tab w:pos="977" w:val="left" w:leader="none"/>
        </w:tabs>
        <w:spacing w:line="276" w:lineRule="auto" w:before="0" w:after="0"/>
        <w:ind w:left="726" w:right="697" w:firstLine="0"/>
        <w:jc w:val="both"/>
        <w:rPr>
          <w:sz w:val="20"/>
        </w:rPr>
      </w:pPr>
      <w:r>
        <w:rPr>
          <w:sz w:val="20"/>
        </w:rPr>
        <w:t>Her üye devlet karşılıklı yardım, işbirliği ve Kurul’a katılım bağlamında gerçekleştirilecek olanlar da dahil olmak üzere görevlerini etkili bir şekilde yerine getirebilmeleri ve yetkilerini etkili bir şekilde kullanabilmeleri için gereken insan kaynağı, teknik ve mali kaynaklar, binalar ve altyapının her denetim makamına sağlanmasını temin</w:t>
      </w:r>
      <w:r>
        <w:rPr>
          <w:spacing w:val="-4"/>
          <w:sz w:val="20"/>
        </w:rPr>
        <w:t> </w:t>
      </w:r>
      <w:r>
        <w:rPr>
          <w:sz w:val="20"/>
        </w:rPr>
        <w:t>eder.</w:t>
      </w:r>
    </w:p>
    <w:p>
      <w:pPr>
        <w:pStyle w:val="BodyText"/>
        <w:rPr>
          <w:sz w:val="22"/>
        </w:rPr>
      </w:pPr>
    </w:p>
    <w:p>
      <w:pPr>
        <w:pStyle w:val="BodyText"/>
        <w:spacing w:before="2"/>
        <w:rPr>
          <w:sz w:val="24"/>
        </w:rPr>
      </w:pPr>
    </w:p>
    <w:p>
      <w:pPr>
        <w:pStyle w:val="ListParagraph"/>
        <w:numPr>
          <w:ilvl w:val="0"/>
          <w:numId w:val="92"/>
        </w:numPr>
        <w:tabs>
          <w:tab w:pos="1139" w:val="left" w:leader="none"/>
          <w:tab w:pos="1140" w:val="left" w:leader="none"/>
        </w:tabs>
        <w:spacing w:line="278" w:lineRule="auto" w:before="0" w:after="0"/>
        <w:ind w:left="726" w:right="704" w:firstLine="0"/>
        <w:jc w:val="left"/>
        <w:rPr>
          <w:sz w:val="20"/>
        </w:rPr>
      </w:pPr>
      <w:r>
        <w:rPr>
          <w:sz w:val="20"/>
        </w:rPr>
        <w:t>Her üye devlet her denetim makamının üyesi veya üyelerinin münhasır yönlendirmesine tabi olacak personelini</w:t>
      </w:r>
      <w:r>
        <w:rPr>
          <w:spacing w:val="-4"/>
          <w:sz w:val="20"/>
        </w:rPr>
        <w:t> </w:t>
      </w:r>
      <w:r>
        <w:rPr>
          <w:sz w:val="20"/>
        </w:rPr>
        <w:t>ilgili</w:t>
      </w:r>
      <w:r>
        <w:rPr>
          <w:spacing w:val="-4"/>
          <w:sz w:val="20"/>
        </w:rPr>
        <w:t> </w:t>
      </w:r>
      <w:r>
        <w:rPr>
          <w:sz w:val="20"/>
        </w:rPr>
        <w:t>denetim</w:t>
      </w:r>
      <w:r>
        <w:rPr>
          <w:spacing w:val="-3"/>
          <w:sz w:val="20"/>
        </w:rPr>
        <w:t> </w:t>
      </w:r>
      <w:r>
        <w:rPr>
          <w:sz w:val="20"/>
        </w:rPr>
        <w:t>makamının</w:t>
      </w:r>
      <w:r>
        <w:rPr>
          <w:spacing w:val="-5"/>
          <w:sz w:val="20"/>
        </w:rPr>
        <w:t> </w:t>
      </w:r>
      <w:r>
        <w:rPr>
          <w:sz w:val="20"/>
        </w:rPr>
        <w:t>kendi</w:t>
      </w:r>
      <w:r>
        <w:rPr>
          <w:spacing w:val="-6"/>
          <w:sz w:val="20"/>
        </w:rPr>
        <w:t> </w:t>
      </w:r>
      <w:r>
        <w:rPr>
          <w:sz w:val="20"/>
        </w:rPr>
        <w:t>seçmesini</w:t>
      </w:r>
      <w:r>
        <w:rPr>
          <w:spacing w:val="-4"/>
          <w:sz w:val="20"/>
        </w:rPr>
        <w:t> </w:t>
      </w:r>
      <w:r>
        <w:rPr>
          <w:sz w:val="20"/>
        </w:rPr>
        <w:t>ve</w:t>
      </w:r>
      <w:r>
        <w:rPr>
          <w:spacing w:val="-3"/>
          <w:sz w:val="20"/>
        </w:rPr>
        <w:t> </w:t>
      </w:r>
      <w:r>
        <w:rPr>
          <w:sz w:val="20"/>
        </w:rPr>
        <w:t>bu</w:t>
      </w:r>
      <w:r>
        <w:rPr>
          <w:spacing w:val="-6"/>
          <w:sz w:val="20"/>
        </w:rPr>
        <w:t> </w:t>
      </w:r>
      <w:r>
        <w:rPr>
          <w:sz w:val="20"/>
        </w:rPr>
        <w:t>makamın</w:t>
      </w:r>
      <w:r>
        <w:rPr>
          <w:spacing w:val="-5"/>
          <w:sz w:val="20"/>
        </w:rPr>
        <w:t> </w:t>
      </w:r>
      <w:r>
        <w:rPr>
          <w:sz w:val="20"/>
        </w:rPr>
        <w:t>kendi</w:t>
      </w:r>
      <w:r>
        <w:rPr>
          <w:spacing w:val="-6"/>
          <w:sz w:val="20"/>
        </w:rPr>
        <w:t> </w:t>
      </w:r>
      <w:r>
        <w:rPr>
          <w:sz w:val="20"/>
        </w:rPr>
        <w:t>personelinin</w:t>
      </w:r>
      <w:r>
        <w:rPr>
          <w:spacing w:val="-3"/>
          <w:sz w:val="20"/>
        </w:rPr>
        <w:t> </w:t>
      </w:r>
      <w:r>
        <w:rPr>
          <w:sz w:val="20"/>
        </w:rPr>
        <w:t>olmasını</w:t>
      </w:r>
      <w:r>
        <w:rPr>
          <w:spacing w:val="-5"/>
          <w:sz w:val="20"/>
        </w:rPr>
        <w:t> </w:t>
      </w:r>
      <w:r>
        <w:rPr>
          <w:sz w:val="20"/>
        </w:rPr>
        <w:t>sağlar.</w:t>
      </w:r>
    </w:p>
    <w:p>
      <w:pPr>
        <w:pStyle w:val="BodyText"/>
        <w:rPr>
          <w:sz w:val="22"/>
        </w:rPr>
      </w:pPr>
    </w:p>
    <w:p>
      <w:pPr>
        <w:pStyle w:val="BodyText"/>
        <w:spacing w:before="3"/>
        <w:rPr>
          <w:sz w:val="24"/>
        </w:rPr>
      </w:pPr>
    </w:p>
    <w:p>
      <w:pPr>
        <w:pStyle w:val="ListParagraph"/>
        <w:numPr>
          <w:ilvl w:val="0"/>
          <w:numId w:val="92"/>
        </w:numPr>
        <w:tabs>
          <w:tab w:pos="1140" w:val="left" w:leader="none"/>
        </w:tabs>
        <w:spacing w:line="276" w:lineRule="auto" w:before="0" w:after="0"/>
        <w:ind w:left="726" w:right="700" w:firstLine="0"/>
        <w:jc w:val="both"/>
        <w:rPr>
          <w:sz w:val="20"/>
        </w:rPr>
      </w:pPr>
      <w:r>
        <w:rPr>
          <w:sz w:val="20"/>
        </w:rPr>
        <w:t>Her üye devlet her denetim makamının bağımsızlığını etkilemeyen bir mali kontrole tabi olmasını ve genel devlet bütçesi veya ulusal bütçenin parçası olabilecek ayrı yıllık kamu bütçelerinin bulunmasını sağlar.</w:t>
      </w:r>
    </w:p>
    <w:p>
      <w:pPr>
        <w:pStyle w:val="BodyText"/>
        <w:spacing w:before="4"/>
        <w:rPr>
          <w:sz w:val="24"/>
        </w:rPr>
      </w:pPr>
    </w:p>
    <w:p>
      <w:pPr>
        <w:pStyle w:val="BodyText"/>
        <w:spacing w:line="276" w:lineRule="auto"/>
        <w:ind w:left="5035" w:right="5053"/>
        <w:jc w:val="center"/>
      </w:pPr>
      <w:r>
        <w:rPr/>
        <w:t>Madde 53</w:t>
      </w:r>
    </w:p>
    <w:p>
      <w:pPr>
        <w:pStyle w:val="BodyText"/>
        <w:rPr>
          <w:sz w:val="22"/>
        </w:rPr>
      </w:pPr>
    </w:p>
    <w:p>
      <w:pPr>
        <w:pStyle w:val="BodyText"/>
        <w:spacing w:before="5"/>
        <w:rPr>
          <w:sz w:val="24"/>
        </w:rPr>
      </w:pPr>
    </w:p>
    <w:p>
      <w:pPr>
        <w:pStyle w:val="Heading1"/>
        <w:ind w:left="2978" w:right="0"/>
        <w:jc w:val="left"/>
      </w:pPr>
      <w:r>
        <w:rPr/>
        <w:t>Denetim makamının üyeleriyle ilgili genel koşullar</w:t>
      </w:r>
    </w:p>
    <w:p>
      <w:pPr>
        <w:pStyle w:val="BodyText"/>
        <w:rPr>
          <w:b/>
          <w:sz w:val="22"/>
        </w:rPr>
      </w:pPr>
    </w:p>
    <w:p>
      <w:pPr>
        <w:pStyle w:val="BodyText"/>
        <w:spacing w:before="4"/>
        <w:rPr>
          <w:b/>
          <w:sz w:val="27"/>
        </w:rPr>
      </w:pPr>
    </w:p>
    <w:p>
      <w:pPr>
        <w:pStyle w:val="ListParagraph"/>
        <w:numPr>
          <w:ilvl w:val="0"/>
          <w:numId w:val="93"/>
        </w:numPr>
        <w:tabs>
          <w:tab w:pos="965" w:val="left" w:leader="none"/>
        </w:tabs>
        <w:spacing w:line="276" w:lineRule="auto" w:before="0" w:after="0"/>
        <w:ind w:left="726" w:right="700" w:firstLine="0"/>
        <w:jc w:val="left"/>
        <w:rPr>
          <w:sz w:val="20"/>
        </w:rPr>
      </w:pPr>
      <w:r>
        <w:rPr>
          <w:sz w:val="20"/>
        </w:rPr>
        <w:t>Üye devletler denetim makamlarının her üyesinin aşağıdaki taraflarca şeffaf bir usul vasıtasıyla tayin edilmesini</w:t>
      </w:r>
      <w:r>
        <w:rPr>
          <w:spacing w:val="-3"/>
          <w:sz w:val="20"/>
        </w:rPr>
        <w:t> </w:t>
      </w:r>
      <w:r>
        <w:rPr>
          <w:sz w:val="20"/>
        </w:rPr>
        <w:t>sağlar:</w:t>
      </w:r>
    </w:p>
    <w:p>
      <w:pPr>
        <w:pStyle w:val="ListParagraph"/>
        <w:numPr>
          <w:ilvl w:val="0"/>
          <w:numId w:val="94"/>
        </w:numPr>
        <w:tabs>
          <w:tab w:pos="982" w:val="left" w:leader="none"/>
        </w:tabs>
        <w:spacing w:line="240" w:lineRule="auto" w:before="93" w:after="0"/>
        <w:ind w:left="981" w:right="0" w:hanging="255"/>
        <w:jc w:val="both"/>
        <w:rPr>
          <w:sz w:val="20"/>
        </w:rPr>
      </w:pPr>
      <w:r>
        <w:rPr>
          <w:sz w:val="20"/>
        </w:rPr>
        <w:t>parlamentoları;</w:t>
      </w:r>
    </w:p>
    <w:p>
      <w:pPr>
        <w:pStyle w:val="ListParagraph"/>
        <w:numPr>
          <w:ilvl w:val="0"/>
          <w:numId w:val="94"/>
        </w:numPr>
        <w:tabs>
          <w:tab w:pos="982" w:val="left" w:leader="none"/>
        </w:tabs>
        <w:spacing w:line="240" w:lineRule="auto" w:before="91" w:after="0"/>
        <w:ind w:left="981" w:right="0" w:hanging="255"/>
        <w:jc w:val="both"/>
        <w:rPr>
          <w:sz w:val="20"/>
        </w:rPr>
      </w:pPr>
      <w:r>
        <w:rPr>
          <w:sz w:val="20"/>
        </w:rPr>
        <w:t>hükümetleri;</w:t>
      </w:r>
    </w:p>
    <w:p>
      <w:pPr>
        <w:pStyle w:val="ListParagraph"/>
        <w:numPr>
          <w:ilvl w:val="0"/>
          <w:numId w:val="94"/>
        </w:numPr>
        <w:tabs>
          <w:tab w:pos="982" w:val="left" w:leader="none"/>
        </w:tabs>
        <w:spacing w:line="240" w:lineRule="auto" w:before="94" w:after="0"/>
        <w:ind w:left="981" w:right="0" w:hanging="255"/>
        <w:jc w:val="both"/>
        <w:rPr>
          <w:sz w:val="20"/>
        </w:rPr>
      </w:pPr>
      <w:r>
        <w:rPr>
          <w:sz w:val="20"/>
        </w:rPr>
        <w:t>Devlet başkanları</w:t>
      </w:r>
      <w:r>
        <w:rPr>
          <w:spacing w:val="-4"/>
          <w:sz w:val="20"/>
        </w:rPr>
        <w:t> </w:t>
      </w:r>
      <w:r>
        <w:rPr>
          <w:sz w:val="20"/>
        </w:rPr>
        <w:t>veya</w:t>
      </w:r>
    </w:p>
    <w:p>
      <w:pPr>
        <w:pStyle w:val="ListParagraph"/>
        <w:numPr>
          <w:ilvl w:val="0"/>
          <w:numId w:val="94"/>
        </w:numPr>
        <w:tabs>
          <w:tab w:pos="982" w:val="left" w:leader="none"/>
        </w:tabs>
        <w:spacing w:line="240" w:lineRule="auto" w:before="95" w:after="0"/>
        <w:ind w:left="981" w:right="0" w:hanging="255"/>
        <w:jc w:val="both"/>
        <w:rPr>
          <w:sz w:val="20"/>
        </w:rPr>
      </w:pPr>
      <w:r>
        <w:rPr>
          <w:sz w:val="20"/>
        </w:rPr>
        <w:t>üye devlet hukuku çerçevesinde atama yetkisi verilen bağımsız bir</w:t>
      </w:r>
      <w:r>
        <w:rPr>
          <w:spacing w:val="-10"/>
          <w:sz w:val="20"/>
        </w:rPr>
        <w:t> </w:t>
      </w:r>
      <w:r>
        <w:rPr>
          <w:sz w:val="20"/>
        </w:rPr>
        <w:t>organ.</w:t>
      </w:r>
    </w:p>
    <w:p>
      <w:pPr>
        <w:pStyle w:val="BodyText"/>
        <w:spacing w:before="1"/>
        <w:rPr>
          <w:sz w:val="26"/>
        </w:rPr>
      </w:pPr>
    </w:p>
    <w:p>
      <w:pPr>
        <w:pStyle w:val="ListParagraph"/>
        <w:numPr>
          <w:ilvl w:val="0"/>
          <w:numId w:val="93"/>
        </w:numPr>
        <w:tabs>
          <w:tab w:pos="982" w:val="left" w:leader="none"/>
        </w:tabs>
        <w:spacing w:line="278" w:lineRule="auto" w:before="0" w:after="0"/>
        <w:ind w:left="726" w:right="700" w:firstLine="0"/>
        <w:jc w:val="left"/>
        <w:rPr>
          <w:sz w:val="20"/>
        </w:rPr>
      </w:pPr>
      <w:r>
        <w:rPr>
          <w:sz w:val="20"/>
        </w:rPr>
        <w:t>Her üye, özellikle kişisel verilerin korunması alanında, görevlerinin yerine getirilmesi ve yetkilerinin kullanılması için gereken nitelikler, deneyim ve becerilere</w:t>
      </w:r>
      <w:r>
        <w:rPr>
          <w:spacing w:val="-5"/>
          <w:sz w:val="20"/>
        </w:rPr>
        <w:t> </w:t>
      </w:r>
      <w:r>
        <w:rPr>
          <w:sz w:val="20"/>
        </w:rPr>
        <w:t>sahiptir.</w:t>
      </w:r>
    </w:p>
    <w:p>
      <w:pPr>
        <w:pStyle w:val="BodyText"/>
        <w:rPr>
          <w:sz w:val="22"/>
        </w:rPr>
      </w:pPr>
    </w:p>
    <w:p>
      <w:pPr>
        <w:pStyle w:val="BodyText"/>
        <w:spacing w:before="3"/>
        <w:rPr>
          <w:sz w:val="24"/>
        </w:rPr>
      </w:pPr>
    </w:p>
    <w:p>
      <w:pPr>
        <w:pStyle w:val="ListParagraph"/>
        <w:numPr>
          <w:ilvl w:val="0"/>
          <w:numId w:val="93"/>
        </w:numPr>
        <w:tabs>
          <w:tab w:pos="1139" w:val="left" w:leader="none"/>
          <w:tab w:pos="1140" w:val="left" w:leader="none"/>
        </w:tabs>
        <w:spacing w:line="276" w:lineRule="auto" w:before="0" w:after="0"/>
        <w:ind w:left="726" w:right="699" w:firstLine="0"/>
        <w:jc w:val="left"/>
        <w:rPr>
          <w:sz w:val="20"/>
        </w:rPr>
      </w:pPr>
      <w:r>
        <w:rPr>
          <w:sz w:val="20"/>
        </w:rPr>
        <w:t>Bir üyenin görevleri, ilgili üye devlet hukuku uyarınca görev süresinin sona ermesi, istifa etmesi veya emekli edilmesi halinde sona</w:t>
      </w:r>
      <w:r>
        <w:rPr>
          <w:spacing w:val="-7"/>
          <w:sz w:val="20"/>
        </w:rPr>
        <w:t> </w:t>
      </w:r>
      <w:r>
        <w:rPr>
          <w:sz w:val="20"/>
        </w:rPr>
        <w:t>erer.</w:t>
      </w:r>
    </w:p>
    <w:p>
      <w:pPr>
        <w:pStyle w:val="BodyText"/>
        <w:rPr>
          <w:sz w:val="22"/>
        </w:rPr>
      </w:pPr>
    </w:p>
    <w:p>
      <w:pPr>
        <w:pStyle w:val="BodyText"/>
        <w:spacing w:before="3"/>
        <w:rPr>
          <w:sz w:val="24"/>
        </w:rPr>
      </w:pPr>
    </w:p>
    <w:p>
      <w:pPr>
        <w:pStyle w:val="ListParagraph"/>
        <w:numPr>
          <w:ilvl w:val="0"/>
          <w:numId w:val="93"/>
        </w:numPr>
        <w:tabs>
          <w:tab w:pos="1139" w:val="left" w:leader="none"/>
          <w:tab w:pos="1140" w:val="left" w:leader="none"/>
        </w:tabs>
        <w:spacing w:line="276" w:lineRule="auto" w:before="1" w:after="0"/>
        <w:ind w:left="726" w:right="703" w:firstLine="0"/>
        <w:jc w:val="left"/>
        <w:rPr>
          <w:sz w:val="20"/>
        </w:rPr>
      </w:pPr>
      <w:r>
        <w:rPr>
          <w:sz w:val="20"/>
        </w:rPr>
        <w:t>Bir üye ancak ağır suiistimal hallerinde veya görevlerinin yerine getirilmesi için gereken koşulları artık yerine getirmemesi durumunda görevden alınır.</w:t>
      </w:r>
    </w:p>
    <w:p>
      <w:pPr>
        <w:pStyle w:val="BodyText"/>
        <w:rPr>
          <w:sz w:val="22"/>
        </w:rPr>
      </w:pPr>
    </w:p>
    <w:p>
      <w:pPr>
        <w:pStyle w:val="BodyText"/>
        <w:spacing w:before="3"/>
        <w:rPr>
          <w:sz w:val="25"/>
        </w:rPr>
      </w:pPr>
    </w:p>
    <w:p>
      <w:pPr>
        <w:pStyle w:val="BodyText"/>
        <w:spacing w:line="276" w:lineRule="auto"/>
        <w:ind w:left="5035" w:right="5053"/>
        <w:jc w:val="center"/>
      </w:pPr>
      <w:r>
        <w:rPr/>
        <w:t>Madde 54</w:t>
      </w:r>
    </w:p>
    <w:p>
      <w:pPr>
        <w:pStyle w:val="BodyText"/>
        <w:rPr>
          <w:sz w:val="22"/>
        </w:rPr>
      </w:pPr>
    </w:p>
    <w:p>
      <w:pPr>
        <w:pStyle w:val="BodyText"/>
        <w:spacing w:before="5"/>
        <w:rPr>
          <w:sz w:val="24"/>
        </w:rPr>
      </w:pPr>
    </w:p>
    <w:p>
      <w:pPr>
        <w:pStyle w:val="Heading1"/>
      </w:pPr>
      <w:r>
        <w:rPr/>
        <w:t>Denetim makamının kurulmasına ilişkin kurallar</w:t>
      </w:r>
    </w:p>
    <w:p>
      <w:pPr>
        <w:pStyle w:val="BodyText"/>
        <w:rPr>
          <w:b/>
          <w:sz w:val="27"/>
        </w:rPr>
      </w:pPr>
    </w:p>
    <w:p>
      <w:pPr>
        <w:pStyle w:val="ListParagraph"/>
        <w:numPr>
          <w:ilvl w:val="0"/>
          <w:numId w:val="95"/>
        </w:numPr>
        <w:tabs>
          <w:tab w:pos="948" w:val="left" w:leader="none"/>
        </w:tabs>
        <w:spacing w:line="240" w:lineRule="auto" w:before="0" w:after="0"/>
        <w:ind w:left="726" w:right="0" w:firstLine="0"/>
        <w:jc w:val="both"/>
        <w:rPr>
          <w:sz w:val="20"/>
        </w:rPr>
      </w:pPr>
      <w:r>
        <w:rPr>
          <w:sz w:val="20"/>
        </w:rPr>
        <w:t>Her üye devlet, aşağıdakilerin tamamını kanunla</w:t>
      </w:r>
      <w:r>
        <w:rPr>
          <w:spacing w:val="-7"/>
          <w:sz w:val="20"/>
        </w:rPr>
        <w:t> </w:t>
      </w:r>
      <w:r>
        <w:rPr>
          <w:sz w:val="20"/>
        </w:rPr>
        <w:t>sağlar:</w:t>
      </w:r>
    </w:p>
    <w:p>
      <w:pPr>
        <w:pStyle w:val="ListParagraph"/>
        <w:numPr>
          <w:ilvl w:val="0"/>
          <w:numId w:val="96"/>
        </w:numPr>
        <w:tabs>
          <w:tab w:pos="1027" w:val="left" w:leader="none"/>
        </w:tabs>
        <w:spacing w:line="240" w:lineRule="auto" w:before="34" w:after="0"/>
        <w:ind w:left="1026" w:right="0" w:hanging="300"/>
        <w:jc w:val="both"/>
        <w:rPr>
          <w:sz w:val="20"/>
        </w:rPr>
      </w:pPr>
      <w:r>
        <w:rPr>
          <w:sz w:val="20"/>
        </w:rPr>
        <w:t>her denetim makamının</w:t>
      </w:r>
      <w:r>
        <w:rPr>
          <w:spacing w:val="-5"/>
          <w:sz w:val="20"/>
        </w:rPr>
        <w:t> </w:t>
      </w:r>
      <w:r>
        <w:rPr>
          <w:sz w:val="20"/>
        </w:rPr>
        <w:t>kurulması;</w:t>
      </w:r>
    </w:p>
    <w:p>
      <w:pPr>
        <w:pStyle w:val="ListParagraph"/>
        <w:numPr>
          <w:ilvl w:val="0"/>
          <w:numId w:val="96"/>
        </w:numPr>
        <w:tabs>
          <w:tab w:pos="1027" w:val="left" w:leader="none"/>
        </w:tabs>
        <w:spacing w:line="240" w:lineRule="auto" w:before="37" w:after="0"/>
        <w:ind w:left="1026" w:right="0" w:hanging="300"/>
        <w:jc w:val="both"/>
        <w:rPr>
          <w:sz w:val="20"/>
        </w:rPr>
      </w:pPr>
      <w:r>
        <w:rPr>
          <w:sz w:val="20"/>
        </w:rPr>
        <w:t>her denetim makamının üyesi olarak tayin edilmek için gereken nitelikler ve uygunluk</w:t>
      </w:r>
      <w:r>
        <w:rPr>
          <w:spacing w:val="-19"/>
          <w:sz w:val="20"/>
        </w:rPr>
        <w:t> </w:t>
      </w:r>
      <w:r>
        <w:rPr>
          <w:sz w:val="20"/>
        </w:rPr>
        <w:t>koşulları;</w:t>
      </w:r>
    </w:p>
    <w:p>
      <w:pPr>
        <w:pStyle w:val="ListParagraph"/>
        <w:numPr>
          <w:ilvl w:val="0"/>
          <w:numId w:val="96"/>
        </w:numPr>
        <w:tabs>
          <w:tab w:pos="1017" w:val="left" w:leader="none"/>
        </w:tabs>
        <w:spacing w:line="240" w:lineRule="auto" w:before="127" w:after="0"/>
        <w:ind w:left="1016" w:right="0" w:hanging="290"/>
        <w:jc w:val="both"/>
        <w:rPr>
          <w:sz w:val="20"/>
        </w:rPr>
      </w:pPr>
      <w:r>
        <w:rPr>
          <w:sz w:val="20"/>
        </w:rPr>
        <w:t>her denetim makamının üyesi veya üyelerinin tayin edilmesine ilişkin kurallar ve</w:t>
      </w:r>
      <w:r>
        <w:rPr>
          <w:spacing w:val="-17"/>
          <w:sz w:val="20"/>
        </w:rPr>
        <w:t> </w:t>
      </w:r>
      <w:r>
        <w:rPr>
          <w:sz w:val="20"/>
        </w:rPr>
        <w:t>usuller;</w:t>
      </w:r>
    </w:p>
    <w:p>
      <w:pPr>
        <w:pStyle w:val="BodyText"/>
        <w:spacing w:before="4"/>
        <w:rPr>
          <w:sz w:val="27"/>
        </w:rPr>
      </w:pPr>
    </w:p>
    <w:p>
      <w:pPr>
        <w:pStyle w:val="BodyText"/>
        <w:spacing w:line="278" w:lineRule="auto" w:before="1"/>
        <w:ind w:left="1089" w:hanging="360"/>
      </w:pPr>
      <w:r>
        <w:rPr/>
        <w:t>(c) aşamalı bir atama usulü vasıtasıyla denetim makamının bağımsızlığının korunması için gerekmesi durumunda, 24 Mayıs 2016 tarihinden sonra yapılacak ve bir kısmı daha kısa bir süre boyunca</w:t>
      </w:r>
    </w:p>
    <w:p>
      <w:pPr>
        <w:spacing w:after="0" w:line="278" w:lineRule="auto"/>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line="276" w:lineRule="auto" w:before="66"/>
        <w:ind w:left="729" w:right="699"/>
        <w:jc w:val="both"/>
      </w:pPr>
      <w:r>
        <w:rPr/>
        <w:t>geçerli olabilecek ilk atama haricinde, her denetim makamının üyesi veya üyeleriyle ilgili olarak en az dört yıl olacak görev süresi;</w:t>
      </w:r>
    </w:p>
    <w:p>
      <w:pPr>
        <w:pStyle w:val="BodyText"/>
        <w:spacing w:before="2"/>
        <w:rPr>
          <w:sz w:val="24"/>
        </w:rPr>
      </w:pPr>
    </w:p>
    <w:p>
      <w:pPr>
        <w:pStyle w:val="ListParagraph"/>
        <w:numPr>
          <w:ilvl w:val="0"/>
          <w:numId w:val="97"/>
        </w:numPr>
        <w:tabs>
          <w:tab w:pos="1039" w:val="left" w:leader="none"/>
        </w:tabs>
        <w:spacing w:line="276" w:lineRule="auto" w:before="0" w:after="0"/>
        <w:ind w:left="1022" w:right="693" w:hanging="296"/>
        <w:jc w:val="both"/>
        <w:rPr>
          <w:sz w:val="20"/>
        </w:rPr>
      </w:pPr>
      <w:r>
        <w:rPr>
          <w:sz w:val="20"/>
        </w:rPr>
        <w:t>her denetim makamının üyesi veya üyelerinin yeniden tayin edilip edilemeyeceğı ve, tayin edilmeleri halinde, kaç dönem tayin</w:t>
      </w:r>
      <w:r>
        <w:rPr>
          <w:spacing w:val="-2"/>
          <w:sz w:val="20"/>
        </w:rPr>
        <w:t> </w:t>
      </w:r>
      <w:r>
        <w:rPr>
          <w:sz w:val="20"/>
        </w:rPr>
        <w:t>edilebileceği;</w:t>
      </w:r>
    </w:p>
    <w:p>
      <w:pPr>
        <w:pStyle w:val="BodyText"/>
        <w:spacing w:before="1"/>
        <w:rPr>
          <w:sz w:val="24"/>
        </w:rPr>
      </w:pPr>
    </w:p>
    <w:p>
      <w:pPr>
        <w:pStyle w:val="ListParagraph"/>
        <w:numPr>
          <w:ilvl w:val="0"/>
          <w:numId w:val="97"/>
        </w:numPr>
        <w:tabs>
          <w:tab w:pos="983" w:val="left" w:leader="none"/>
        </w:tabs>
        <w:spacing w:line="276" w:lineRule="auto" w:before="1" w:after="0"/>
        <w:ind w:left="1022" w:right="691" w:hanging="296"/>
        <w:jc w:val="both"/>
        <w:rPr>
          <w:sz w:val="20"/>
        </w:rPr>
      </w:pPr>
      <w:r>
        <w:rPr>
          <w:sz w:val="20"/>
        </w:rPr>
        <w:t>her denetim makamının üyesi veya üyeleri ile personelinin yükümlülükleri, görev süresi esnasında ve sonrasında üyelikle bağdaşmayan eylemler, meslekler ve menfaatlere ilişkin yasakları düzenleyen koşullar ve göreve son verilmesini düzenleyen</w:t>
      </w:r>
      <w:r>
        <w:rPr>
          <w:spacing w:val="-7"/>
          <w:sz w:val="20"/>
        </w:rPr>
        <w:t> </w:t>
      </w:r>
      <w:r>
        <w:rPr>
          <w:sz w:val="20"/>
        </w:rPr>
        <w:t>kurallar.</w:t>
      </w:r>
    </w:p>
    <w:p>
      <w:pPr>
        <w:pStyle w:val="BodyText"/>
        <w:rPr>
          <w:sz w:val="23"/>
        </w:rPr>
      </w:pPr>
    </w:p>
    <w:p>
      <w:pPr>
        <w:pStyle w:val="ListParagraph"/>
        <w:numPr>
          <w:ilvl w:val="0"/>
          <w:numId w:val="95"/>
        </w:numPr>
        <w:tabs>
          <w:tab w:pos="958" w:val="left" w:leader="none"/>
        </w:tabs>
        <w:spacing w:line="276" w:lineRule="auto" w:before="0" w:after="0"/>
        <w:ind w:left="726" w:right="689" w:firstLine="0"/>
        <w:jc w:val="both"/>
        <w:rPr>
          <w:sz w:val="20"/>
        </w:rPr>
      </w:pPr>
      <w:r>
        <w:rPr>
          <w:sz w:val="20"/>
        </w:rPr>
        <w:t>Her denetim makamının üyesi veya üyeleri ile personeli, Birlik veya üye devlet hukuku uyarınca, hem görev süreleri esnasında hem de sonrasında, görevlerinin yerine getirilmesi veya yetkilerinin kullanımı esnasında öğrendikleri gizli bilgiler ile ilgili olarak bir mesleki gizlilik yükümlülüğüne tabidir. Görev süreleri boyunca, söz konusu mesleki gizlilik yükümlülüğü özellikle gerçek kişilerin bu Tüzük’e ilişkin ihlaller ile ilgili bildirimlerine</w:t>
      </w:r>
      <w:r>
        <w:rPr>
          <w:spacing w:val="-4"/>
          <w:sz w:val="20"/>
        </w:rPr>
        <w:t> </w:t>
      </w:r>
      <w:r>
        <w:rPr>
          <w:sz w:val="20"/>
        </w:rPr>
        <w:t>uygulanır.</w:t>
      </w:r>
    </w:p>
    <w:p>
      <w:pPr>
        <w:pStyle w:val="BodyText"/>
        <w:rPr>
          <w:sz w:val="22"/>
        </w:rPr>
      </w:pPr>
    </w:p>
    <w:p>
      <w:pPr>
        <w:pStyle w:val="BodyText"/>
        <w:spacing w:before="4"/>
        <w:rPr>
          <w:sz w:val="24"/>
        </w:rPr>
      </w:pPr>
    </w:p>
    <w:p>
      <w:pPr>
        <w:pStyle w:val="BodyText"/>
        <w:spacing w:before="1"/>
        <w:ind w:left="2207" w:right="2222"/>
        <w:jc w:val="center"/>
      </w:pPr>
      <w:r>
        <w:rPr/>
        <w:t>Kesim 2</w:t>
      </w:r>
    </w:p>
    <w:p>
      <w:pPr>
        <w:pStyle w:val="BodyText"/>
        <w:spacing w:before="10"/>
        <w:rPr>
          <w:sz w:val="25"/>
        </w:rPr>
      </w:pPr>
    </w:p>
    <w:p>
      <w:pPr>
        <w:pStyle w:val="Heading1"/>
        <w:ind w:right="2209"/>
      </w:pPr>
      <w:r>
        <w:rPr/>
        <w:t>Yetkinlik, görevler ve yetkiler</w:t>
      </w:r>
    </w:p>
    <w:p>
      <w:pPr>
        <w:pStyle w:val="BodyText"/>
        <w:spacing w:before="4"/>
        <w:rPr>
          <w:b/>
          <w:sz w:val="26"/>
        </w:rPr>
      </w:pPr>
    </w:p>
    <w:p>
      <w:pPr>
        <w:pStyle w:val="BodyText"/>
        <w:spacing w:line="276" w:lineRule="auto"/>
        <w:ind w:left="5035" w:right="5053"/>
        <w:jc w:val="center"/>
      </w:pPr>
      <w:r>
        <w:rPr/>
        <w:t>Madde 55</w:t>
      </w:r>
    </w:p>
    <w:p>
      <w:pPr>
        <w:pStyle w:val="BodyText"/>
        <w:spacing w:before="8"/>
        <w:rPr>
          <w:sz w:val="22"/>
        </w:rPr>
      </w:pPr>
    </w:p>
    <w:p>
      <w:pPr>
        <w:pStyle w:val="Heading1"/>
        <w:ind w:right="2224"/>
      </w:pPr>
      <w:r>
        <w:rPr/>
        <w:t>Yetkinlik</w:t>
      </w:r>
    </w:p>
    <w:p>
      <w:pPr>
        <w:pStyle w:val="BodyText"/>
        <w:rPr>
          <w:b/>
          <w:sz w:val="22"/>
        </w:rPr>
      </w:pPr>
    </w:p>
    <w:p>
      <w:pPr>
        <w:pStyle w:val="BodyText"/>
        <w:spacing w:before="8"/>
        <w:rPr>
          <w:b/>
          <w:sz w:val="27"/>
        </w:rPr>
      </w:pPr>
    </w:p>
    <w:p>
      <w:pPr>
        <w:pStyle w:val="ListParagraph"/>
        <w:numPr>
          <w:ilvl w:val="0"/>
          <w:numId w:val="98"/>
        </w:numPr>
        <w:tabs>
          <w:tab w:pos="1140" w:val="left" w:leader="none"/>
        </w:tabs>
        <w:spacing w:line="276" w:lineRule="auto" w:before="0" w:after="0"/>
        <w:ind w:left="726" w:right="703" w:firstLine="0"/>
        <w:jc w:val="both"/>
        <w:rPr>
          <w:sz w:val="20"/>
        </w:rPr>
      </w:pPr>
      <w:r>
        <w:rPr>
          <w:sz w:val="20"/>
        </w:rPr>
        <w:t>Her denetim makamı, bu Tüzük uyarınca kendisine verilen görevlerin yerine getirilmesi ve yetkilerin kullanımı hususunda kendi üye devletinin topraklarında</w:t>
      </w:r>
      <w:r>
        <w:rPr>
          <w:spacing w:val="-1"/>
          <w:sz w:val="20"/>
        </w:rPr>
        <w:t> </w:t>
      </w:r>
      <w:r>
        <w:rPr>
          <w:sz w:val="20"/>
        </w:rPr>
        <w:t>yetkindir.</w:t>
      </w:r>
    </w:p>
    <w:p>
      <w:pPr>
        <w:pStyle w:val="BodyText"/>
        <w:rPr>
          <w:sz w:val="22"/>
        </w:rPr>
      </w:pPr>
    </w:p>
    <w:p>
      <w:pPr>
        <w:pStyle w:val="BodyText"/>
        <w:spacing w:before="8"/>
        <w:rPr>
          <w:sz w:val="24"/>
        </w:rPr>
      </w:pPr>
    </w:p>
    <w:p>
      <w:pPr>
        <w:pStyle w:val="ListParagraph"/>
        <w:numPr>
          <w:ilvl w:val="0"/>
          <w:numId w:val="98"/>
        </w:numPr>
        <w:tabs>
          <w:tab w:pos="1140" w:val="left" w:leader="none"/>
        </w:tabs>
        <w:spacing w:line="276" w:lineRule="auto" w:before="0" w:after="0"/>
        <w:ind w:left="726" w:right="700" w:firstLine="0"/>
        <w:jc w:val="both"/>
        <w:rPr>
          <w:sz w:val="20"/>
        </w:rPr>
      </w:pPr>
      <w:r>
        <w:rPr>
          <w:sz w:val="20"/>
        </w:rPr>
        <w:t>İşleme faaliyetinin kamu kuruluşları veya 6(1) maddesinin (c) veya (e) bendine dayalı olarak hareket eden özel organlar tarafından gerçekleştirildiği hallerde, ilgili üye devletin denetim makamı yetkindir. Bu hallerde, 56. madde</w:t>
      </w:r>
      <w:r>
        <w:rPr>
          <w:spacing w:val="-4"/>
          <w:sz w:val="20"/>
        </w:rPr>
        <w:t> </w:t>
      </w:r>
      <w:r>
        <w:rPr>
          <w:sz w:val="20"/>
        </w:rPr>
        <w:t>uygulanmaz.</w:t>
      </w:r>
    </w:p>
    <w:p>
      <w:pPr>
        <w:pStyle w:val="BodyText"/>
        <w:rPr>
          <w:sz w:val="22"/>
        </w:rPr>
      </w:pPr>
    </w:p>
    <w:p>
      <w:pPr>
        <w:pStyle w:val="BodyText"/>
        <w:spacing w:before="10"/>
        <w:rPr>
          <w:sz w:val="24"/>
        </w:rPr>
      </w:pPr>
    </w:p>
    <w:p>
      <w:pPr>
        <w:pStyle w:val="ListParagraph"/>
        <w:numPr>
          <w:ilvl w:val="0"/>
          <w:numId w:val="98"/>
        </w:numPr>
        <w:tabs>
          <w:tab w:pos="1140" w:val="left" w:leader="none"/>
        </w:tabs>
        <w:spacing w:line="276" w:lineRule="auto" w:before="0" w:after="0"/>
        <w:ind w:left="726" w:right="696" w:firstLine="0"/>
        <w:jc w:val="both"/>
        <w:rPr>
          <w:sz w:val="20"/>
        </w:rPr>
      </w:pPr>
      <w:r>
        <w:rPr>
          <w:sz w:val="20"/>
        </w:rPr>
        <w:t>Denetim makamları kendi yargı yetkileri çerçevesinde hareket eden mahkemelerin işleme faaliyetlerini denetlemeye yetkin değildir.</w:t>
      </w:r>
    </w:p>
    <w:p>
      <w:pPr>
        <w:pStyle w:val="BodyText"/>
        <w:rPr>
          <w:sz w:val="22"/>
        </w:rPr>
      </w:pPr>
    </w:p>
    <w:p>
      <w:pPr>
        <w:pStyle w:val="BodyText"/>
        <w:spacing w:before="3"/>
        <w:rPr>
          <w:sz w:val="24"/>
        </w:rPr>
      </w:pPr>
    </w:p>
    <w:p>
      <w:pPr>
        <w:pStyle w:val="BodyText"/>
        <w:spacing w:line="276" w:lineRule="auto"/>
        <w:ind w:left="5035" w:right="5053"/>
        <w:jc w:val="center"/>
      </w:pPr>
      <w:r>
        <w:rPr/>
        <w:t>Madde 56</w:t>
      </w:r>
    </w:p>
    <w:p>
      <w:pPr>
        <w:pStyle w:val="BodyText"/>
        <w:rPr>
          <w:sz w:val="22"/>
        </w:rPr>
      </w:pPr>
    </w:p>
    <w:p>
      <w:pPr>
        <w:pStyle w:val="BodyText"/>
        <w:spacing w:before="9"/>
        <w:rPr>
          <w:sz w:val="23"/>
        </w:rPr>
      </w:pPr>
    </w:p>
    <w:p>
      <w:pPr>
        <w:pStyle w:val="Heading1"/>
        <w:spacing w:before="1"/>
        <w:ind w:left="2204"/>
      </w:pPr>
      <w:r>
        <w:rPr/>
        <w:t>Baş denetim makamının yetkinliği</w:t>
      </w:r>
    </w:p>
    <w:p>
      <w:pPr>
        <w:pStyle w:val="BodyText"/>
        <w:rPr>
          <w:b/>
          <w:sz w:val="22"/>
        </w:rPr>
      </w:pPr>
    </w:p>
    <w:p>
      <w:pPr>
        <w:pStyle w:val="BodyText"/>
        <w:spacing w:before="5"/>
        <w:rPr>
          <w:b/>
          <w:sz w:val="27"/>
        </w:rPr>
      </w:pPr>
    </w:p>
    <w:p>
      <w:pPr>
        <w:pStyle w:val="ListParagraph"/>
        <w:numPr>
          <w:ilvl w:val="0"/>
          <w:numId w:val="99"/>
        </w:numPr>
        <w:tabs>
          <w:tab w:pos="1003" w:val="left" w:leader="none"/>
        </w:tabs>
        <w:spacing w:line="276" w:lineRule="auto" w:before="0" w:after="0"/>
        <w:ind w:left="726" w:right="696" w:firstLine="0"/>
        <w:jc w:val="both"/>
        <w:rPr>
          <w:sz w:val="20"/>
        </w:rPr>
      </w:pPr>
      <w:r>
        <w:rPr>
          <w:sz w:val="20"/>
        </w:rPr>
        <w:t>55. maddeye halel gelmeksizin, kontrolör veya işleyicinin ana işletmesinin veya tek işletmesinin denetim makamı söz konusu kontrolör veya işleyici tarafından 60. maddede sağlanan usul uyarınca gerçekleştirilen sınır ötesi işleme faaliyetlerine yönelik olarak baş denetim makamı şeklinde hareket etmeye</w:t>
      </w:r>
      <w:r>
        <w:rPr>
          <w:spacing w:val="1"/>
          <w:sz w:val="20"/>
        </w:rPr>
        <w:t> </w:t>
      </w:r>
      <w:r>
        <w:rPr>
          <w:sz w:val="20"/>
        </w:rPr>
        <w:t>yetkindir.</w:t>
      </w:r>
    </w:p>
    <w:p>
      <w:pPr>
        <w:pStyle w:val="BodyText"/>
        <w:spacing w:before="1"/>
        <w:rPr>
          <w:sz w:val="23"/>
        </w:rPr>
      </w:pPr>
    </w:p>
    <w:p>
      <w:pPr>
        <w:pStyle w:val="ListParagraph"/>
        <w:numPr>
          <w:ilvl w:val="0"/>
          <w:numId w:val="99"/>
        </w:numPr>
        <w:tabs>
          <w:tab w:pos="1015" w:val="left" w:leader="none"/>
        </w:tabs>
        <w:spacing w:line="276" w:lineRule="auto" w:before="0" w:after="0"/>
        <w:ind w:left="726" w:right="691" w:firstLine="0"/>
        <w:jc w:val="both"/>
        <w:rPr>
          <w:sz w:val="20"/>
        </w:rPr>
      </w:pPr>
      <w:r>
        <w:rPr>
          <w:sz w:val="20"/>
        </w:rPr>
        <w:t>1. paragrafa istisna olarak, her denetim makamı, konunun yalnızca kendi üye devletindeki bir işletmeyle ilgili olması veya yalnızca kendi üye devletindeki veri sahiplerini kayda değer ölçüde  etkilemesi halinde, kendisine yapılan bir şikayetin veya bu Tüzük’e ilişkin olası bir ihlalin ele alınması hususunda</w:t>
      </w:r>
      <w:r>
        <w:rPr>
          <w:spacing w:val="1"/>
          <w:sz w:val="20"/>
        </w:rPr>
        <w:t> </w:t>
      </w:r>
      <w:r>
        <w:rPr>
          <w:sz w:val="20"/>
        </w:rPr>
        <w:t>yetkindir.</w:t>
      </w:r>
    </w:p>
    <w:p>
      <w:pPr>
        <w:spacing w:after="0" w:line="276"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99"/>
        </w:numPr>
        <w:tabs>
          <w:tab w:pos="975" w:val="left" w:leader="none"/>
        </w:tabs>
        <w:spacing w:line="276" w:lineRule="auto" w:before="66" w:after="0"/>
        <w:ind w:left="726" w:right="687" w:firstLine="0"/>
        <w:jc w:val="both"/>
        <w:rPr>
          <w:sz w:val="20"/>
        </w:rPr>
      </w:pPr>
      <w:r>
        <w:rPr>
          <w:sz w:val="20"/>
        </w:rPr>
        <w:t>Bu maddenin 2. paragrafında atıfta bulunulan hallerde, denetim makamı baş denetim makamını bu konuyla ilgili olarak herhangi bir gecikmeye mahal vermeksizin bilgilendirir. Baş denetim makamı, bilgilendirildikten itibaren üç haftalık bir süre içerisinde, üye devlette denetim makamının kendisi hakkında bilgilendirdiği bir kontrolör veya işleyici işletmesi bulunup bulunmadığını dikkate alarak, 60. maddede sağlanan usul uyarınca hususu ele alıp almayacağına karar</w:t>
      </w:r>
      <w:r>
        <w:rPr>
          <w:spacing w:val="-13"/>
          <w:sz w:val="20"/>
        </w:rPr>
        <w:t> </w:t>
      </w:r>
      <w:r>
        <w:rPr>
          <w:sz w:val="20"/>
        </w:rPr>
        <w:t>verir.</w:t>
      </w:r>
    </w:p>
    <w:p>
      <w:pPr>
        <w:pStyle w:val="BodyText"/>
        <w:spacing w:before="2"/>
        <w:rPr>
          <w:sz w:val="27"/>
        </w:rPr>
      </w:pPr>
    </w:p>
    <w:p>
      <w:pPr>
        <w:pStyle w:val="ListParagraph"/>
        <w:numPr>
          <w:ilvl w:val="0"/>
          <w:numId w:val="99"/>
        </w:numPr>
        <w:tabs>
          <w:tab w:pos="1001" w:val="left" w:leader="none"/>
        </w:tabs>
        <w:spacing w:line="276" w:lineRule="auto" w:before="0" w:after="0"/>
        <w:ind w:left="726" w:right="701" w:firstLine="0"/>
        <w:jc w:val="both"/>
        <w:rPr>
          <w:sz w:val="20"/>
        </w:rPr>
      </w:pPr>
      <w:r>
        <w:rPr>
          <w:sz w:val="20"/>
        </w:rPr>
        <w:t>Baş denetim makamının hususu ele almaya karar verdiği hallerde, 60. maddede sağlanan usul uygulanır. Baş denetim makamını bilgilendiren denetim makamı bir karar taslağını baş denetim makamına sunabilir. Baş denetim makamı, 60(3) maddesinde atıfta bulunulan karar taslağını hazırlarken, bu taslağı önemle göz önünde</w:t>
      </w:r>
      <w:r>
        <w:rPr>
          <w:spacing w:val="-9"/>
          <w:sz w:val="20"/>
        </w:rPr>
        <w:t> </w:t>
      </w:r>
      <w:r>
        <w:rPr>
          <w:sz w:val="20"/>
        </w:rPr>
        <w:t>bulundur.</w:t>
      </w:r>
    </w:p>
    <w:p>
      <w:pPr>
        <w:pStyle w:val="BodyText"/>
        <w:rPr>
          <w:sz w:val="22"/>
        </w:rPr>
      </w:pPr>
    </w:p>
    <w:p>
      <w:pPr>
        <w:pStyle w:val="BodyText"/>
        <w:spacing w:before="10"/>
        <w:rPr>
          <w:sz w:val="24"/>
        </w:rPr>
      </w:pPr>
    </w:p>
    <w:p>
      <w:pPr>
        <w:pStyle w:val="ListParagraph"/>
        <w:numPr>
          <w:ilvl w:val="0"/>
          <w:numId w:val="99"/>
        </w:numPr>
        <w:tabs>
          <w:tab w:pos="1139" w:val="left" w:leader="none"/>
          <w:tab w:pos="1140" w:val="left" w:leader="none"/>
        </w:tabs>
        <w:spacing w:line="276" w:lineRule="auto" w:before="0" w:after="0"/>
        <w:ind w:left="726" w:right="1350" w:firstLine="0"/>
        <w:jc w:val="left"/>
        <w:rPr>
          <w:sz w:val="20"/>
        </w:rPr>
      </w:pPr>
      <w:r>
        <w:rPr>
          <w:sz w:val="20"/>
        </w:rPr>
        <w:t>Baş denetim makamının hususu ele almamaya karar verdiği hallerde, baş denetim makamını bilgilendiren denetim makamı bu hususu 61 ve 62. maddelere göre ele</w:t>
      </w:r>
      <w:r>
        <w:rPr>
          <w:spacing w:val="-7"/>
          <w:sz w:val="20"/>
        </w:rPr>
        <w:t> </w:t>
      </w:r>
      <w:r>
        <w:rPr>
          <w:sz w:val="20"/>
        </w:rPr>
        <w:t>alır.</w:t>
      </w:r>
    </w:p>
    <w:p>
      <w:pPr>
        <w:pStyle w:val="BodyText"/>
        <w:rPr>
          <w:sz w:val="22"/>
        </w:rPr>
      </w:pPr>
    </w:p>
    <w:p>
      <w:pPr>
        <w:pStyle w:val="BodyText"/>
        <w:spacing w:before="7"/>
        <w:rPr>
          <w:sz w:val="24"/>
        </w:rPr>
      </w:pPr>
    </w:p>
    <w:p>
      <w:pPr>
        <w:pStyle w:val="ListParagraph"/>
        <w:numPr>
          <w:ilvl w:val="0"/>
          <w:numId w:val="99"/>
        </w:numPr>
        <w:tabs>
          <w:tab w:pos="948" w:val="left" w:leader="none"/>
        </w:tabs>
        <w:spacing w:line="276" w:lineRule="auto" w:before="1" w:after="0"/>
        <w:ind w:left="726" w:right="842" w:firstLine="0"/>
        <w:jc w:val="left"/>
        <w:rPr>
          <w:sz w:val="20"/>
        </w:rPr>
      </w:pPr>
      <w:r>
        <w:rPr>
          <w:sz w:val="20"/>
        </w:rPr>
        <w:t>Baş denetim makamı kontrolör veya işleyici tarafından gerçekleştirilen sınır ötesi işleme faaliyetlerine yönelik olarak söz konusu kontrolör veya işleyicinin tek</w:t>
      </w:r>
      <w:r>
        <w:rPr>
          <w:spacing w:val="-3"/>
          <w:sz w:val="20"/>
        </w:rPr>
        <w:t> </w:t>
      </w:r>
      <w:r>
        <w:rPr>
          <w:sz w:val="20"/>
        </w:rPr>
        <w:t>muhatabıdır.</w:t>
      </w:r>
    </w:p>
    <w:p>
      <w:pPr>
        <w:pStyle w:val="BodyText"/>
        <w:rPr>
          <w:sz w:val="22"/>
        </w:rPr>
      </w:pPr>
    </w:p>
    <w:p>
      <w:pPr>
        <w:pStyle w:val="BodyText"/>
        <w:spacing w:before="7"/>
        <w:rPr>
          <w:sz w:val="24"/>
        </w:rPr>
      </w:pPr>
    </w:p>
    <w:p>
      <w:pPr>
        <w:pStyle w:val="BodyText"/>
        <w:spacing w:line="276" w:lineRule="auto"/>
        <w:ind w:left="5035" w:right="5053"/>
        <w:jc w:val="center"/>
      </w:pPr>
      <w:r>
        <w:rPr/>
        <w:t>Madde 57</w:t>
      </w:r>
    </w:p>
    <w:p>
      <w:pPr>
        <w:pStyle w:val="BodyText"/>
        <w:rPr>
          <w:sz w:val="22"/>
        </w:rPr>
      </w:pPr>
    </w:p>
    <w:p>
      <w:pPr>
        <w:pStyle w:val="BodyText"/>
        <w:spacing w:before="8"/>
        <w:rPr>
          <w:sz w:val="24"/>
        </w:rPr>
      </w:pPr>
    </w:p>
    <w:p>
      <w:pPr>
        <w:pStyle w:val="Heading1"/>
        <w:ind w:right="2207"/>
      </w:pPr>
      <w:r>
        <w:rPr/>
        <w:t>Görevler</w:t>
      </w:r>
    </w:p>
    <w:p>
      <w:pPr>
        <w:pStyle w:val="BodyText"/>
        <w:spacing w:before="2"/>
        <w:rPr>
          <w:b/>
          <w:sz w:val="27"/>
        </w:rPr>
      </w:pPr>
    </w:p>
    <w:p>
      <w:pPr>
        <w:pStyle w:val="ListParagraph"/>
        <w:numPr>
          <w:ilvl w:val="0"/>
          <w:numId w:val="100"/>
        </w:numPr>
        <w:tabs>
          <w:tab w:pos="948" w:val="left" w:leader="none"/>
        </w:tabs>
        <w:spacing w:line="276" w:lineRule="auto" w:before="0" w:after="0"/>
        <w:ind w:left="726" w:right="1029" w:firstLine="0"/>
        <w:jc w:val="left"/>
        <w:rPr>
          <w:sz w:val="20"/>
        </w:rPr>
      </w:pPr>
      <w:r>
        <w:rPr>
          <w:sz w:val="20"/>
        </w:rPr>
        <w:t>Bu Tüzük çerçevesinde ortaya konan diğer görevlere halel gelmeksizin, her denetim makamı kendi topraklarında:</w:t>
      </w:r>
    </w:p>
    <w:p>
      <w:pPr>
        <w:pStyle w:val="ListParagraph"/>
        <w:numPr>
          <w:ilvl w:val="0"/>
          <w:numId w:val="101"/>
        </w:numPr>
        <w:tabs>
          <w:tab w:pos="1027" w:val="left" w:leader="none"/>
        </w:tabs>
        <w:spacing w:line="240" w:lineRule="auto" w:before="2" w:after="0"/>
        <w:ind w:left="726" w:right="0" w:firstLine="0"/>
        <w:jc w:val="left"/>
        <w:rPr>
          <w:sz w:val="20"/>
        </w:rPr>
      </w:pPr>
      <w:r>
        <w:rPr>
          <w:sz w:val="20"/>
        </w:rPr>
        <w:t>bu Tüzük’ün uygulanmasını izler ve</w:t>
      </w:r>
      <w:r>
        <w:rPr>
          <w:spacing w:val="-2"/>
          <w:sz w:val="20"/>
        </w:rPr>
        <w:t> </w:t>
      </w:r>
      <w:r>
        <w:rPr>
          <w:sz w:val="20"/>
        </w:rPr>
        <w:t>yürütür;</w:t>
      </w:r>
    </w:p>
    <w:p>
      <w:pPr>
        <w:pStyle w:val="ListParagraph"/>
        <w:numPr>
          <w:ilvl w:val="0"/>
          <w:numId w:val="101"/>
        </w:numPr>
        <w:tabs>
          <w:tab w:pos="1068" w:val="left" w:leader="none"/>
        </w:tabs>
        <w:spacing w:line="276" w:lineRule="auto" w:before="55" w:after="0"/>
        <w:ind w:left="726" w:right="714" w:firstLine="0"/>
        <w:jc w:val="left"/>
        <w:rPr>
          <w:sz w:val="20"/>
        </w:rPr>
      </w:pPr>
      <w:r>
        <w:rPr>
          <w:sz w:val="20"/>
        </w:rPr>
        <w:t>halkın işleme faaliyeti ile ilgili riskler, kurallar, güvenceler ve haklara yönelik bilinci </w:t>
      </w:r>
      <w:r>
        <w:rPr>
          <w:spacing w:val="5"/>
          <w:sz w:val="20"/>
        </w:rPr>
        <w:t>ve </w:t>
      </w:r>
      <w:r>
        <w:rPr>
          <w:sz w:val="20"/>
        </w:rPr>
        <w:t>anlayışını geliştirir.</w:t>
      </w:r>
    </w:p>
    <w:p>
      <w:pPr>
        <w:pStyle w:val="BodyText"/>
        <w:spacing w:before="21"/>
        <w:ind w:left="726"/>
      </w:pPr>
      <w:r>
        <w:rPr/>
        <w:t>Özellikle çocuklara yönelik faaliyetlere özel alaka gösterilir;</w:t>
      </w:r>
    </w:p>
    <w:p>
      <w:pPr>
        <w:pStyle w:val="BodyText"/>
        <w:spacing w:before="4"/>
        <w:rPr>
          <w:sz w:val="26"/>
        </w:rPr>
      </w:pPr>
    </w:p>
    <w:p>
      <w:pPr>
        <w:pStyle w:val="ListParagraph"/>
        <w:numPr>
          <w:ilvl w:val="0"/>
          <w:numId w:val="101"/>
        </w:numPr>
        <w:tabs>
          <w:tab w:pos="1036" w:val="left" w:leader="none"/>
        </w:tabs>
        <w:spacing w:line="276" w:lineRule="auto" w:before="0" w:after="0"/>
        <w:ind w:left="1079" w:right="691" w:hanging="350"/>
        <w:jc w:val="both"/>
        <w:rPr>
          <w:sz w:val="20"/>
        </w:rPr>
      </w:pPr>
      <w:r>
        <w:rPr>
          <w:sz w:val="20"/>
        </w:rPr>
        <w:t>üye devlet hukuku uyarınca, işleme faaliyeti ile ilgili olarak gerçek kişilerin hakları ve özgürlüklerinin korunmasına ilişkin yasal ve idari tedbirler hususunda ulusal parlamento, hükümet ve diğer  kuruluşlar ile organlara tavsiyede</w:t>
      </w:r>
      <w:r>
        <w:rPr>
          <w:spacing w:val="-5"/>
          <w:sz w:val="20"/>
        </w:rPr>
        <w:t> </w:t>
      </w:r>
      <w:r>
        <w:rPr>
          <w:sz w:val="20"/>
        </w:rPr>
        <w:t>bulunur;</w:t>
      </w:r>
    </w:p>
    <w:p>
      <w:pPr>
        <w:pStyle w:val="BodyText"/>
        <w:spacing w:before="8"/>
        <w:rPr>
          <w:sz w:val="23"/>
        </w:rPr>
      </w:pPr>
    </w:p>
    <w:p>
      <w:pPr>
        <w:pStyle w:val="ListParagraph"/>
        <w:numPr>
          <w:ilvl w:val="0"/>
          <w:numId w:val="101"/>
        </w:numPr>
        <w:tabs>
          <w:tab w:pos="1108" w:val="left" w:leader="none"/>
        </w:tabs>
        <w:spacing w:line="276" w:lineRule="auto" w:before="0" w:after="0"/>
        <w:ind w:left="726" w:right="2322" w:firstLine="0"/>
        <w:jc w:val="left"/>
        <w:rPr>
          <w:sz w:val="20"/>
        </w:rPr>
      </w:pPr>
      <w:r>
        <w:rPr>
          <w:sz w:val="20"/>
        </w:rPr>
        <w:t>bu Tüzük kapsamındaki yükümlülükleri hususunda kontrolörler ve işleyicileri bilinçlendirir;</w:t>
      </w:r>
    </w:p>
    <w:p>
      <w:pPr>
        <w:pStyle w:val="BodyText"/>
        <w:spacing w:before="1"/>
        <w:rPr>
          <w:sz w:val="23"/>
        </w:rPr>
      </w:pPr>
    </w:p>
    <w:p>
      <w:pPr>
        <w:pStyle w:val="ListParagraph"/>
        <w:numPr>
          <w:ilvl w:val="0"/>
          <w:numId w:val="101"/>
        </w:numPr>
        <w:tabs>
          <w:tab w:pos="1036" w:val="left" w:leader="none"/>
        </w:tabs>
        <w:spacing w:line="276" w:lineRule="auto" w:before="0" w:after="0"/>
        <w:ind w:left="1079" w:right="690" w:hanging="350"/>
        <w:jc w:val="both"/>
        <w:rPr>
          <w:sz w:val="20"/>
        </w:rPr>
      </w:pPr>
      <w:r>
        <w:rPr>
          <w:sz w:val="20"/>
        </w:rPr>
        <w:t>talep üzerine, herhangi bir veri sahibine bu Tüzük kapsamındaki haklarının kullanımı hususunda bilgi sağlar ve, uygun olduğu hallerde, bu amaçla diğer üye devletlerdeki denetim makamları ile işbirliği yapar.</w:t>
      </w:r>
    </w:p>
    <w:p>
      <w:pPr>
        <w:pStyle w:val="BodyText"/>
        <w:spacing w:before="6"/>
        <w:rPr>
          <w:sz w:val="24"/>
        </w:rPr>
      </w:pPr>
    </w:p>
    <w:p>
      <w:pPr>
        <w:pStyle w:val="ListParagraph"/>
        <w:numPr>
          <w:ilvl w:val="0"/>
          <w:numId w:val="101"/>
        </w:numPr>
        <w:tabs>
          <w:tab w:pos="979" w:val="left" w:leader="none"/>
        </w:tabs>
        <w:spacing w:line="276" w:lineRule="auto" w:before="0" w:after="0"/>
        <w:ind w:left="1079" w:right="698" w:hanging="350"/>
        <w:jc w:val="both"/>
        <w:rPr>
          <w:sz w:val="20"/>
        </w:rPr>
      </w:pPr>
      <w:r>
        <w:rPr>
          <w:sz w:val="20"/>
        </w:rPr>
        <w:t>80. madde uyarınca bir veri sahibi veya bir organ, kuruluş ya da bir birlik tarafından yapılan şikayetleri ele alır ve şikayetin konusunu, uygun olduğu ölçüde, soruşturur ve özellikle daha ayrıntılı soruşturma ya da başka bir denetim makamı ile koordinasyonun gerekmesi durumunda, şikayet sahibini soruşturmanın ilerlemesi ve sonucu konusunda makul bir süre içerisinde</w:t>
      </w:r>
      <w:r>
        <w:rPr>
          <w:spacing w:val="-16"/>
          <w:sz w:val="20"/>
        </w:rPr>
        <w:t> </w:t>
      </w:r>
      <w:r>
        <w:rPr>
          <w:sz w:val="20"/>
        </w:rPr>
        <w:t>bilgilendirir;</w:t>
      </w:r>
    </w:p>
    <w:p>
      <w:pPr>
        <w:pStyle w:val="BodyText"/>
        <w:spacing w:before="5"/>
        <w:rPr>
          <w:sz w:val="24"/>
        </w:rPr>
      </w:pPr>
    </w:p>
    <w:p>
      <w:pPr>
        <w:pStyle w:val="ListParagraph"/>
        <w:numPr>
          <w:ilvl w:val="0"/>
          <w:numId w:val="101"/>
        </w:numPr>
        <w:tabs>
          <w:tab w:pos="1082" w:val="left" w:leader="none"/>
        </w:tabs>
        <w:spacing w:line="276" w:lineRule="auto" w:before="1" w:after="0"/>
        <w:ind w:left="1079" w:right="701" w:hanging="350"/>
        <w:jc w:val="both"/>
        <w:rPr>
          <w:sz w:val="20"/>
        </w:rPr>
      </w:pPr>
      <w:r>
        <w:rPr>
          <w:sz w:val="20"/>
        </w:rPr>
        <w:t>bu Tüzük’ün uygulanması ve yürütülmesine ilişkin tutarlılık sağlanması amacıyla, diğer denetim makamlarıyla bilgi paylaşımı da dahil olmak üzere işbirliği yapar ve diğer denetim makamlarına karşılıklı destek sağlar;</w:t>
      </w:r>
    </w:p>
    <w:p>
      <w:pPr>
        <w:pStyle w:val="BodyText"/>
        <w:spacing w:before="8"/>
        <w:rPr>
          <w:sz w:val="24"/>
        </w:rPr>
      </w:pPr>
    </w:p>
    <w:p>
      <w:pPr>
        <w:pStyle w:val="ListParagraph"/>
        <w:numPr>
          <w:ilvl w:val="0"/>
          <w:numId w:val="101"/>
        </w:numPr>
        <w:tabs>
          <w:tab w:pos="1034" w:val="left" w:leader="none"/>
        </w:tabs>
        <w:spacing w:line="276" w:lineRule="auto" w:before="0" w:after="0"/>
        <w:ind w:left="1079" w:right="699" w:hanging="350"/>
        <w:jc w:val="both"/>
        <w:rPr>
          <w:sz w:val="20"/>
        </w:rPr>
      </w:pPr>
      <w:r>
        <w:rPr>
          <w:sz w:val="20"/>
        </w:rPr>
        <w:t>başka bir denetim makamı veya başka bir kamu kuruluşundan alınan bilgilere dayalı da olmak üzere, bu Tüzük’ün uygulanmasına ilişkin soruşturmalar</w:t>
      </w:r>
      <w:r>
        <w:rPr>
          <w:spacing w:val="-5"/>
          <w:sz w:val="20"/>
        </w:rPr>
        <w:t> </w:t>
      </w:r>
      <w:r>
        <w:rPr>
          <w:sz w:val="20"/>
        </w:rPr>
        <w:t>yürütür;</w:t>
      </w:r>
    </w:p>
    <w:p>
      <w:pPr>
        <w:spacing w:after="0" w:line="276"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101"/>
        </w:numPr>
        <w:tabs>
          <w:tab w:pos="1022" w:val="left" w:leader="none"/>
        </w:tabs>
        <w:spacing w:line="276" w:lineRule="auto" w:before="66" w:after="0"/>
        <w:ind w:left="1079" w:right="697" w:hanging="350"/>
        <w:jc w:val="left"/>
        <w:rPr>
          <w:sz w:val="20"/>
        </w:rPr>
      </w:pPr>
      <w:r>
        <w:rPr>
          <w:sz w:val="20"/>
        </w:rPr>
        <w:t>kişisel verilerin korunmasına bir etkileri bulunduğu sürece, bilgi ve iletişim teknolojileri ve ticari uygulamaların gelişimi başta olmak üzere ilgili gelişmeleri</w:t>
      </w:r>
      <w:r>
        <w:rPr>
          <w:spacing w:val="-8"/>
          <w:sz w:val="20"/>
        </w:rPr>
        <w:t> </w:t>
      </w:r>
      <w:r>
        <w:rPr>
          <w:sz w:val="20"/>
        </w:rPr>
        <w:t>izler;</w:t>
      </w:r>
    </w:p>
    <w:p>
      <w:pPr>
        <w:pStyle w:val="BodyText"/>
        <w:spacing w:before="1"/>
        <w:rPr>
          <w:sz w:val="23"/>
        </w:rPr>
      </w:pPr>
    </w:p>
    <w:p>
      <w:pPr>
        <w:pStyle w:val="ListParagraph"/>
        <w:numPr>
          <w:ilvl w:val="0"/>
          <w:numId w:val="101"/>
        </w:numPr>
        <w:tabs>
          <w:tab w:pos="1012" w:val="left" w:leader="none"/>
        </w:tabs>
        <w:spacing w:line="276" w:lineRule="auto" w:before="1" w:after="0"/>
        <w:ind w:left="726" w:right="688" w:firstLine="0"/>
        <w:jc w:val="left"/>
        <w:rPr>
          <w:sz w:val="20"/>
        </w:rPr>
      </w:pPr>
      <w:r>
        <w:rPr>
          <w:sz w:val="20"/>
        </w:rPr>
        <w:t>28(8) maddesinde ve 46(2) maddesinin (d) bendinde atıfta bulunulan standart sözleşmeye bağlı maddeleri kabul</w:t>
      </w:r>
      <w:r>
        <w:rPr>
          <w:spacing w:val="-2"/>
          <w:sz w:val="20"/>
        </w:rPr>
        <w:t> </w:t>
      </w:r>
      <w:r>
        <w:rPr>
          <w:sz w:val="20"/>
        </w:rPr>
        <w:t>eder;</w:t>
      </w:r>
    </w:p>
    <w:p>
      <w:pPr>
        <w:pStyle w:val="ListParagraph"/>
        <w:numPr>
          <w:ilvl w:val="0"/>
          <w:numId w:val="101"/>
        </w:numPr>
        <w:tabs>
          <w:tab w:pos="1019" w:val="left" w:leader="none"/>
        </w:tabs>
        <w:spacing w:line="278" w:lineRule="auto" w:before="97" w:after="0"/>
        <w:ind w:left="726" w:right="692" w:firstLine="0"/>
        <w:jc w:val="left"/>
        <w:rPr>
          <w:sz w:val="20"/>
        </w:rPr>
      </w:pPr>
      <w:r>
        <w:rPr>
          <w:sz w:val="20"/>
        </w:rPr>
        <w:t>35(4) maddesi uyarınca veri koruma etki değerlendirmesi gerekliliği ile ilgili olarak bir liste oluşturur ve bu listeyi devam</w:t>
      </w:r>
      <w:r>
        <w:rPr>
          <w:spacing w:val="0"/>
          <w:sz w:val="20"/>
        </w:rPr>
        <w:t> </w:t>
      </w:r>
      <w:r>
        <w:rPr>
          <w:sz w:val="20"/>
        </w:rPr>
        <w:t>ettirir;</w:t>
      </w:r>
    </w:p>
    <w:p>
      <w:pPr>
        <w:pStyle w:val="BodyText"/>
        <w:spacing w:before="3"/>
        <w:rPr>
          <w:sz w:val="31"/>
        </w:rPr>
      </w:pPr>
    </w:p>
    <w:p>
      <w:pPr>
        <w:pStyle w:val="ListParagraph"/>
        <w:numPr>
          <w:ilvl w:val="0"/>
          <w:numId w:val="101"/>
        </w:numPr>
        <w:tabs>
          <w:tab w:pos="960" w:val="left" w:leader="none"/>
        </w:tabs>
        <w:spacing w:line="240" w:lineRule="auto" w:before="0" w:after="0"/>
        <w:ind w:left="959" w:right="0" w:hanging="233"/>
        <w:jc w:val="left"/>
        <w:rPr>
          <w:sz w:val="20"/>
        </w:rPr>
      </w:pPr>
      <w:r>
        <w:rPr>
          <w:sz w:val="20"/>
        </w:rPr>
        <w:t>36(2) maddesinde atıfta bulunulan işleme faaliyetlerine ilişkin tavsiyede</w:t>
      </w:r>
      <w:r>
        <w:rPr>
          <w:spacing w:val="-8"/>
          <w:sz w:val="20"/>
        </w:rPr>
        <w:t> </w:t>
      </w:r>
      <w:r>
        <w:rPr>
          <w:sz w:val="20"/>
        </w:rPr>
        <w:t>bulunur;</w:t>
      </w:r>
    </w:p>
    <w:p>
      <w:pPr>
        <w:pStyle w:val="BodyText"/>
        <w:spacing w:before="4"/>
        <w:rPr>
          <w:sz w:val="26"/>
        </w:rPr>
      </w:pPr>
    </w:p>
    <w:p>
      <w:pPr>
        <w:pStyle w:val="ListParagraph"/>
        <w:numPr>
          <w:ilvl w:val="0"/>
          <w:numId w:val="101"/>
        </w:numPr>
        <w:tabs>
          <w:tab w:pos="1098" w:val="left" w:leader="none"/>
        </w:tabs>
        <w:spacing w:line="276" w:lineRule="auto" w:before="0" w:after="0"/>
        <w:ind w:left="1079" w:right="701" w:hanging="350"/>
        <w:jc w:val="left"/>
        <w:rPr>
          <w:sz w:val="20"/>
        </w:rPr>
      </w:pPr>
      <w:r>
        <w:rPr>
          <w:sz w:val="20"/>
        </w:rPr>
        <w:t>40(1) maddesi uyarınca davranış kurallarının hazırlanmasını teşvik eder ve 40(5) maddesi uyarınca bir görüş sağlar ve yeterli güvencelerin sağlandığı davranış kurallarını</w:t>
      </w:r>
      <w:r>
        <w:rPr>
          <w:spacing w:val="-16"/>
          <w:sz w:val="20"/>
        </w:rPr>
        <w:t> </w:t>
      </w:r>
      <w:r>
        <w:rPr>
          <w:sz w:val="20"/>
        </w:rPr>
        <w:t>onaylar;</w:t>
      </w:r>
    </w:p>
    <w:p>
      <w:pPr>
        <w:pStyle w:val="BodyText"/>
        <w:spacing w:before="6"/>
        <w:rPr>
          <w:sz w:val="24"/>
        </w:rPr>
      </w:pPr>
    </w:p>
    <w:p>
      <w:pPr>
        <w:pStyle w:val="ListParagraph"/>
        <w:numPr>
          <w:ilvl w:val="0"/>
          <w:numId w:val="101"/>
        </w:numPr>
        <w:tabs>
          <w:tab w:pos="1056" w:val="left" w:leader="none"/>
        </w:tabs>
        <w:spacing w:line="276" w:lineRule="auto" w:before="1" w:after="0"/>
        <w:ind w:left="1079" w:right="702" w:hanging="350"/>
        <w:jc w:val="left"/>
        <w:rPr>
          <w:sz w:val="20"/>
        </w:rPr>
      </w:pPr>
      <w:r>
        <w:rPr>
          <w:sz w:val="20"/>
        </w:rPr>
        <w:t>42(1) maddesi uyarınca veri koruma belgelendirme mekanizmalarının ve veri koruma mühürleri ile işaretlerinin</w:t>
      </w:r>
      <w:r>
        <w:rPr>
          <w:spacing w:val="-4"/>
          <w:sz w:val="20"/>
        </w:rPr>
        <w:t> </w:t>
      </w:r>
      <w:r>
        <w:rPr>
          <w:sz w:val="20"/>
        </w:rPr>
        <w:t>oluşturulmasını</w:t>
      </w:r>
      <w:r>
        <w:rPr>
          <w:spacing w:val="-6"/>
          <w:sz w:val="20"/>
        </w:rPr>
        <w:t> </w:t>
      </w:r>
      <w:r>
        <w:rPr>
          <w:sz w:val="20"/>
        </w:rPr>
        <w:t>teşvik</w:t>
      </w:r>
      <w:r>
        <w:rPr>
          <w:spacing w:val="-2"/>
          <w:sz w:val="20"/>
        </w:rPr>
        <w:t> </w:t>
      </w:r>
      <w:r>
        <w:rPr>
          <w:sz w:val="20"/>
        </w:rPr>
        <w:t>eder</w:t>
      </w:r>
      <w:r>
        <w:rPr>
          <w:spacing w:val="-6"/>
          <w:sz w:val="20"/>
        </w:rPr>
        <w:t> </w:t>
      </w:r>
      <w:r>
        <w:rPr>
          <w:sz w:val="20"/>
        </w:rPr>
        <w:t>ve</w:t>
      </w:r>
      <w:r>
        <w:rPr>
          <w:spacing w:val="-4"/>
          <w:sz w:val="20"/>
        </w:rPr>
        <w:t> </w:t>
      </w:r>
      <w:r>
        <w:rPr>
          <w:sz w:val="20"/>
        </w:rPr>
        <w:t>42(5)</w:t>
      </w:r>
      <w:r>
        <w:rPr>
          <w:spacing w:val="-6"/>
          <w:sz w:val="20"/>
        </w:rPr>
        <w:t> </w:t>
      </w:r>
      <w:r>
        <w:rPr>
          <w:sz w:val="20"/>
        </w:rPr>
        <w:t>maddesi</w:t>
      </w:r>
      <w:r>
        <w:rPr>
          <w:spacing w:val="-7"/>
          <w:sz w:val="20"/>
        </w:rPr>
        <w:t> </w:t>
      </w:r>
      <w:r>
        <w:rPr>
          <w:sz w:val="20"/>
        </w:rPr>
        <w:t>uyarınca</w:t>
      </w:r>
      <w:r>
        <w:rPr>
          <w:spacing w:val="-4"/>
          <w:sz w:val="20"/>
        </w:rPr>
        <w:t> </w:t>
      </w:r>
      <w:r>
        <w:rPr>
          <w:sz w:val="20"/>
        </w:rPr>
        <w:t>belgelendirme</w:t>
      </w:r>
      <w:r>
        <w:rPr>
          <w:spacing w:val="-6"/>
          <w:sz w:val="20"/>
        </w:rPr>
        <w:t> </w:t>
      </w:r>
      <w:r>
        <w:rPr>
          <w:sz w:val="20"/>
        </w:rPr>
        <w:t>kriterlerini</w:t>
      </w:r>
      <w:r>
        <w:rPr>
          <w:spacing w:val="-5"/>
          <w:sz w:val="20"/>
        </w:rPr>
        <w:t> </w:t>
      </w:r>
      <w:r>
        <w:rPr>
          <w:sz w:val="20"/>
        </w:rPr>
        <w:t>onaylar;</w:t>
      </w:r>
    </w:p>
    <w:p>
      <w:pPr>
        <w:pStyle w:val="BodyText"/>
        <w:spacing w:before="5"/>
        <w:rPr>
          <w:sz w:val="23"/>
        </w:rPr>
      </w:pPr>
    </w:p>
    <w:p>
      <w:pPr>
        <w:pStyle w:val="ListParagraph"/>
        <w:numPr>
          <w:ilvl w:val="0"/>
          <w:numId w:val="101"/>
        </w:numPr>
        <w:tabs>
          <w:tab w:pos="1051" w:val="left" w:leader="none"/>
        </w:tabs>
        <w:spacing w:line="276" w:lineRule="auto" w:before="0" w:after="0"/>
        <w:ind w:left="726" w:right="686" w:firstLine="0"/>
        <w:jc w:val="left"/>
        <w:rPr>
          <w:sz w:val="20"/>
        </w:rPr>
      </w:pPr>
      <w:r>
        <w:rPr>
          <w:sz w:val="20"/>
        </w:rPr>
        <w:t>uygun olan hallerde, 42(7) maddesi uyarınca sağlanan belgelendirmeleri düzenli aralıklarla gözden geçirir;</w:t>
      </w:r>
    </w:p>
    <w:p>
      <w:pPr>
        <w:pStyle w:val="BodyText"/>
        <w:spacing w:before="3"/>
        <w:rPr>
          <w:sz w:val="27"/>
        </w:rPr>
      </w:pPr>
    </w:p>
    <w:p>
      <w:pPr>
        <w:pStyle w:val="ListParagraph"/>
        <w:numPr>
          <w:ilvl w:val="0"/>
          <w:numId w:val="101"/>
        </w:numPr>
        <w:tabs>
          <w:tab w:pos="1029" w:val="left" w:leader="none"/>
        </w:tabs>
        <w:spacing w:line="276" w:lineRule="auto" w:before="0" w:after="0"/>
        <w:ind w:left="1079" w:right="875" w:hanging="350"/>
        <w:jc w:val="left"/>
        <w:rPr>
          <w:sz w:val="20"/>
        </w:rPr>
      </w:pPr>
      <w:r>
        <w:rPr>
          <w:sz w:val="20"/>
        </w:rPr>
        <w:t>41.</w:t>
      </w:r>
      <w:r>
        <w:rPr>
          <w:spacing w:val="-7"/>
          <w:sz w:val="20"/>
        </w:rPr>
        <w:t> </w:t>
      </w:r>
      <w:r>
        <w:rPr>
          <w:sz w:val="20"/>
        </w:rPr>
        <w:t>madde</w:t>
      </w:r>
      <w:r>
        <w:rPr>
          <w:spacing w:val="-7"/>
          <w:sz w:val="20"/>
        </w:rPr>
        <w:t> </w:t>
      </w:r>
      <w:r>
        <w:rPr>
          <w:sz w:val="20"/>
        </w:rPr>
        <w:t>uyarınca</w:t>
      </w:r>
      <w:r>
        <w:rPr>
          <w:spacing w:val="-6"/>
          <w:sz w:val="20"/>
        </w:rPr>
        <w:t> </w:t>
      </w:r>
      <w:r>
        <w:rPr>
          <w:sz w:val="20"/>
        </w:rPr>
        <w:t>davranış</w:t>
      </w:r>
      <w:r>
        <w:rPr>
          <w:spacing w:val="-5"/>
          <w:sz w:val="20"/>
        </w:rPr>
        <w:t> </w:t>
      </w:r>
      <w:r>
        <w:rPr>
          <w:sz w:val="20"/>
        </w:rPr>
        <w:t>kurallarının</w:t>
      </w:r>
      <w:r>
        <w:rPr>
          <w:spacing w:val="-6"/>
          <w:sz w:val="20"/>
        </w:rPr>
        <w:t> </w:t>
      </w:r>
      <w:r>
        <w:rPr>
          <w:sz w:val="20"/>
        </w:rPr>
        <w:t>izlenmesine</w:t>
      </w:r>
      <w:r>
        <w:rPr>
          <w:spacing w:val="-3"/>
          <w:sz w:val="20"/>
        </w:rPr>
        <w:t> </w:t>
      </w:r>
      <w:r>
        <w:rPr>
          <w:sz w:val="20"/>
        </w:rPr>
        <w:t>yönelik</w:t>
      </w:r>
      <w:r>
        <w:rPr>
          <w:spacing w:val="-3"/>
          <w:sz w:val="20"/>
        </w:rPr>
        <w:t> </w:t>
      </w:r>
      <w:r>
        <w:rPr>
          <w:sz w:val="20"/>
        </w:rPr>
        <w:t>bir</w:t>
      </w:r>
      <w:r>
        <w:rPr>
          <w:spacing w:val="-5"/>
          <w:sz w:val="20"/>
        </w:rPr>
        <w:t> </w:t>
      </w:r>
      <w:r>
        <w:rPr>
          <w:sz w:val="20"/>
        </w:rPr>
        <w:t>organın</w:t>
      </w:r>
      <w:r>
        <w:rPr>
          <w:spacing w:val="-4"/>
          <w:sz w:val="20"/>
        </w:rPr>
        <w:t> </w:t>
      </w:r>
      <w:r>
        <w:rPr>
          <w:sz w:val="20"/>
        </w:rPr>
        <w:t>ve</w:t>
      </w:r>
      <w:r>
        <w:rPr>
          <w:spacing w:val="-4"/>
          <w:sz w:val="20"/>
        </w:rPr>
        <w:t> </w:t>
      </w:r>
      <w:r>
        <w:rPr>
          <w:sz w:val="20"/>
        </w:rPr>
        <w:t>43.</w:t>
      </w:r>
      <w:r>
        <w:rPr>
          <w:spacing w:val="-7"/>
          <w:sz w:val="20"/>
        </w:rPr>
        <w:t> </w:t>
      </w:r>
      <w:r>
        <w:rPr>
          <w:sz w:val="20"/>
        </w:rPr>
        <w:t>madde</w:t>
      </w:r>
      <w:r>
        <w:rPr>
          <w:spacing w:val="-7"/>
          <w:sz w:val="20"/>
        </w:rPr>
        <w:t> </w:t>
      </w:r>
      <w:r>
        <w:rPr>
          <w:sz w:val="20"/>
        </w:rPr>
        <w:t>uyarınca</w:t>
      </w:r>
      <w:r>
        <w:rPr>
          <w:spacing w:val="-4"/>
          <w:sz w:val="20"/>
        </w:rPr>
        <w:t> </w:t>
      </w:r>
      <w:r>
        <w:rPr>
          <w:sz w:val="20"/>
        </w:rPr>
        <w:t>bir belgelendirme organının akreditasyonuna yönelik kriterleri taslak olarak hazırlar ve</w:t>
      </w:r>
      <w:r>
        <w:rPr>
          <w:spacing w:val="-18"/>
          <w:sz w:val="20"/>
        </w:rPr>
        <w:t> </w:t>
      </w:r>
      <w:r>
        <w:rPr>
          <w:sz w:val="20"/>
        </w:rPr>
        <w:t>yayımlar;</w:t>
      </w:r>
    </w:p>
    <w:p>
      <w:pPr>
        <w:pStyle w:val="BodyText"/>
        <w:spacing w:before="6"/>
        <w:rPr>
          <w:sz w:val="23"/>
        </w:rPr>
      </w:pPr>
    </w:p>
    <w:p>
      <w:pPr>
        <w:pStyle w:val="ListParagraph"/>
        <w:numPr>
          <w:ilvl w:val="0"/>
          <w:numId w:val="101"/>
        </w:numPr>
        <w:tabs>
          <w:tab w:pos="1029" w:val="left" w:leader="none"/>
        </w:tabs>
        <w:spacing w:line="278" w:lineRule="auto" w:before="0" w:after="0"/>
        <w:ind w:left="1079" w:right="875" w:hanging="350"/>
        <w:jc w:val="left"/>
        <w:rPr>
          <w:sz w:val="20"/>
        </w:rPr>
      </w:pPr>
      <w:r>
        <w:rPr>
          <w:sz w:val="20"/>
        </w:rPr>
        <w:t>41.</w:t>
      </w:r>
      <w:r>
        <w:rPr>
          <w:spacing w:val="-7"/>
          <w:sz w:val="20"/>
        </w:rPr>
        <w:t> </w:t>
      </w:r>
      <w:r>
        <w:rPr>
          <w:sz w:val="20"/>
        </w:rPr>
        <w:t>madde</w:t>
      </w:r>
      <w:r>
        <w:rPr>
          <w:spacing w:val="-7"/>
          <w:sz w:val="20"/>
        </w:rPr>
        <w:t> </w:t>
      </w:r>
      <w:r>
        <w:rPr>
          <w:sz w:val="20"/>
        </w:rPr>
        <w:t>uyarınca</w:t>
      </w:r>
      <w:r>
        <w:rPr>
          <w:spacing w:val="-6"/>
          <w:sz w:val="20"/>
        </w:rPr>
        <w:t> </w:t>
      </w:r>
      <w:r>
        <w:rPr>
          <w:sz w:val="20"/>
        </w:rPr>
        <w:t>davranış</w:t>
      </w:r>
      <w:r>
        <w:rPr>
          <w:spacing w:val="-5"/>
          <w:sz w:val="20"/>
        </w:rPr>
        <w:t> </w:t>
      </w:r>
      <w:r>
        <w:rPr>
          <w:sz w:val="20"/>
        </w:rPr>
        <w:t>kurallarının</w:t>
      </w:r>
      <w:r>
        <w:rPr>
          <w:spacing w:val="-6"/>
          <w:sz w:val="20"/>
        </w:rPr>
        <w:t> </w:t>
      </w:r>
      <w:r>
        <w:rPr>
          <w:sz w:val="20"/>
        </w:rPr>
        <w:t>izlenmesine</w:t>
      </w:r>
      <w:r>
        <w:rPr>
          <w:spacing w:val="-3"/>
          <w:sz w:val="20"/>
        </w:rPr>
        <w:t> </w:t>
      </w:r>
      <w:r>
        <w:rPr>
          <w:sz w:val="20"/>
        </w:rPr>
        <w:t>yönelik</w:t>
      </w:r>
      <w:r>
        <w:rPr>
          <w:spacing w:val="-3"/>
          <w:sz w:val="20"/>
        </w:rPr>
        <w:t> </w:t>
      </w:r>
      <w:r>
        <w:rPr>
          <w:sz w:val="20"/>
        </w:rPr>
        <w:t>bir</w:t>
      </w:r>
      <w:r>
        <w:rPr>
          <w:spacing w:val="-5"/>
          <w:sz w:val="20"/>
        </w:rPr>
        <w:t> </w:t>
      </w:r>
      <w:r>
        <w:rPr>
          <w:sz w:val="20"/>
        </w:rPr>
        <w:t>organın</w:t>
      </w:r>
      <w:r>
        <w:rPr>
          <w:spacing w:val="-4"/>
          <w:sz w:val="20"/>
        </w:rPr>
        <w:t> </w:t>
      </w:r>
      <w:r>
        <w:rPr>
          <w:sz w:val="20"/>
        </w:rPr>
        <w:t>ve</w:t>
      </w:r>
      <w:r>
        <w:rPr>
          <w:spacing w:val="-4"/>
          <w:sz w:val="20"/>
        </w:rPr>
        <w:t> </w:t>
      </w:r>
      <w:r>
        <w:rPr>
          <w:sz w:val="20"/>
        </w:rPr>
        <w:t>43.</w:t>
      </w:r>
      <w:r>
        <w:rPr>
          <w:spacing w:val="-7"/>
          <w:sz w:val="20"/>
        </w:rPr>
        <w:t> </w:t>
      </w:r>
      <w:r>
        <w:rPr>
          <w:sz w:val="20"/>
        </w:rPr>
        <w:t>madde</w:t>
      </w:r>
      <w:r>
        <w:rPr>
          <w:spacing w:val="-7"/>
          <w:sz w:val="20"/>
        </w:rPr>
        <w:t> </w:t>
      </w:r>
      <w:r>
        <w:rPr>
          <w:sz w:val="20"/>
        </w:rPr>
        <w:t>uyarınca</w:t>
      </w:r>
      <w:r>
        <w:rPr>
          <w:spacing w:val="-4"/>
          <w:sz w:val="20"/>
        </w:rPr>
        <w:t> </w:t>
      </w:r>
      <w:r>
        <w:rPr>
          <w:sz w:val="20"/>
        </w:rPr>
        <w:t>bir belgelendirme organının akreditasyonunu</w:t>
      </w:r>
      <w:r>
        <w:rPr>
          <w:spacing w:val="-5"/>
          <w:sz w:val="20"/>
        </w:rPr>
        <w:t> </w:t>
      </w:r>
      <w:r>
        <w:rPr>
          <w:sz w:val="20"/>
        </w:rPr>
        <w:t>gerçekleştirir;</w:t>
      </w:r>
    </w:p>
    <w:p>
      <w:pPr>
        <w:pStyle w:val="BodyText"/>
        <w:spacing w:before="1"/>
        <w:rPr>
          <w:sz w:val="23"/>
        </w:rPr>
      </w:pPr>
    </w:p>
    <w:p>
      <w:pPr>
        <w:pStyle w:val="ListParagraph"/>
        <w:numPr>
          <w:ilvl w:val="0"/>
          <w:numId w:val="101"/>
        </w:numPr>
        <w:tabs>
          <w:tab w:pos="984" w:val="left" w:leader="none"/>
        </w:tabs>
        <w:spacing w:line="240" w:lineRule="auto" w:before="1" w:after="0"/>
        <w:ind w:left="983" w:right="0" w:hanging="257"/>
        <w:jc w:val="left"/>
        <w:rPr>
          <w:sz w:val="20"/>
        </w:rPr>
      </w:pPr>
      <w:r>
        <w:rPr>
          <w:sz w:val="20"/>
        </w:rPr>
        <w:t>46(3) maddesinde atıfta bulunulan sözleşmeye bağlı maddeler ve hükümleri</w:t>
      </w:r>
      <w:r>
        <w:rPr>
          <w:spacing w:val="-10"/>
          <w:sz w:val="20"/>
        </w:rPr>
        <w:t> </w:t>
      </w:r>
      <w:r>
        <w:rPr>
          <w:sz w:val="20"/>
        </w:rPr>
        <w:t>onaylar;</w:t>
      </w:r>
    </w:p>
    <w:p>
      <w:pPr>
        <w:pStyle w:val="ListParagraph"/>
        <w:numPr>
          <w:ilvl w:val="0"/>
          <w:numId w:val="101"/>
        </w:numPr>
        <w:tabs>
          <w:tab w:pos="1017" w:val="left" w:leader="none"/>
        </w:tabs>
        <w:spacing w:line="240" w:lineRule="auto" w:before="34" w:after="0"/>
        <w:ind w:left="1016" w:right="0" w:hanging="290"/>
        <w:jc w:val="left"/>
        <w:rPr>
          <w:sz w:val="20"/>
        </w:rPr>
      </w:pPr>
      <w:r>
        <w:rPr>
          <w:sz w:val="20"/>
        </w:rPr>
        <w:t>47. madde uyarınca bağlayıcı kurumsal kuralları</w:t>
      </w:r>
      <w:r>
        <w:rPr>
          <w:spacing w:val="-11"/>
          <w:sz w:val="20"/>
        </w:rPr>
        <w:t> </w:t>
      </w:r>
      <w:r>
        <w:rPr>
          <w:sz w:val="20"/>
        </w:rPr>
        <w:t>onaylar;</w:t>
      </w:r>
    </w:p>
    <w:p>
      <w:pPr>
        <w:pStyle w:val="ListParagraph"/>
        <w:numPr>
          <w:ilvl w:val="0"/>
          <w:numId w:val="101"/>
        </w:numPr>
        <w:tabs>
          <w:tab w:pos="972" w:val="left" w:leader="none"/>
        </w:tabs>
        <w:spacing w:line="240" w:lineRule="auto" w:before="53" w:after="0"/>
        <w:ind w:left="971" w:right="0" w:hanging="245"/>
        <w:jc w:val="left"/>
        <w:rPr>
          <w:sz w:val="20"/>
        </w:rPr>
      </w:pPr>
      <w:r>
        <w:rPr>
          <w:sz w:val="20"/>
        </w:rPr>
        <w:t>Kurul’un faaliyetlerine katkıda</w:t>
      </w:r>
      <w:r>
        <w:rPr>
          <w:spacing w:val="-4"/>
          <w:sz w:val="20"/>
        </w:rPr>
        <w:t> </w:t>
      </w:r>
      <w:r>
        <w:rPr>
          <w:sz w:val="20"/>
        </w:rPr>
        <w:t>bulunur;</w:t>
      </w:r>
    </w:p>
    <w:p>
      <w:pPr>
        <w:pStyle w:val="ListParagraph"/>
        <w:numPr>
          <w:ilvl w:val="0"/>
          <w:numId w:val="101"/>
        </w:numPr>
        <w:tabs>
          <w:tab w:pos="1027" w:val="left" w:leader="none"/>
        </w:tabs>
        <w:spacing w:line="276" w:lineRule="auto" w:before="123" w:after="0"/>
        <w:ind w:left="1079" w:right="1771" w:hanging="353"/>
        <w:jc w:val="left"/>
        <w:rPr>
          <w:sz w:val="20"/>
        </w:rPr>
      </w:pPr>
      <w:r>
        <w:rPr>
          <w:sz w:val="20"/>
        </w:rPr>
        <w:t>bu Tüzük’e ilişkin ihlallerin ve 58(2) maddesi uyarınca alınan tedbirlerin iç kayıtlarını tutar; ve</w:t>
      </w:r>
    </w:p>
    <w:p>
      <w:pPr>
        <w:pStyle w:val="ListParagraph"/>
        <w:numPr>
          <w:ilvl w:val="0"/>
          <w:numId w:val="101"/>
        </w:numPr>
        <w:tabs>
          <w:tab w:pos="1015" w:val="left" w:leader="none"/>
        </w:tabs>
        <w:spacing w:line="240" w:lineRule="auto" w:before="88" w:after="0"/>
        <w:ind w:left="1014" w:right="0" w:hanging="288"/>
        <w:jc w:val="left"/>
        <w:rPr>
          <w:sz w:val="20"/>
        </w:rPr>
      </w:pPr>
      <w:r>
        <w:rPr>
          <w:sz w:val="20"/>
        </w:rPr>
        <w:t>Kişisel verilerin korunmasıyla ilgili diğer görevleri yerine</w:t>
      </w:r>
      <w:r>
        <w:rPr>
          <w:spacing w:val="-7"/>
          <w:sz w:val="20"/>
        </w:rPr>
        <w:t> </w:t>
      </w:r>
      <w:r>
        <w:rPr>
          <w:sz w:val="20"/>
        </w:rPr>
        <w:t>getirir.</w:t>
      </w:r>
    </w:p>
    <w:p>
      <w:pPr>
        <w:pStyle w:val="BodyText"/>
        <w:spacing w:before="10"/>
        <w:rPr>
          <w:sz w:val="26"/>
        </w:rPr>
      </w:pPr>
    </w:p>
    <w:p>
      <w:pPr>
        <w:pStyle w:val="ListParagraph"/>
        <w:numPr>
          <w:ilvl w:val="0"/>
          <w:numId w:val="100"/>
        </w:numPr>
        <w:tabs>
          <w:tab w:pos="1140" w:val="left" w:leader="none"/>
        </w:tabs>
        <w:spacing w:line="276" w:lineRule="auto" w:before="1" w:after="0"/>
        <w:ind w:left="726" w:right="694" w:firstLine="0"/>
        <w:jc w:val="both"/>
        <w:rPr>
          <w:sz w:val="20"/>
        </w:rPr>
      </w:pPr>
      <w:r>
        <w:rPr>
          <w:sz w:val="20"/>
        </w:rPr>
        <w:t>Her denetim makamı, diğer iletişim araçları hariç tutulmaksızın elektronik olarak da doldurulabilecek bir şikayet sunum formu gibi tedbirlerle 1. paragrafın (f) bendinde atıfta bulunulan şikayetlerin sunulmasını</w:t>
      </w:r>
      <w:r>
        <w:rPr>
          <w:spacing w:val="-2"/>
          <w:sz w:val="20"/>
        </w:rPr>
        <w:t> </w:t>
      </w:r>
      <w:r>
        <w:rPr>
          <w:sz w:val="20"/>
        </w:rPr>
        <w:t>kolaylaştırır.</w:t>
      </w:r>
    </w:p>
    <w:p>
      <w:pPr>
        <w:pStyle w:val="BodyText"/>
        <w:rPr>
          <w:sz w:val="22"/>
        </w:rPr>
      </w:pPr>
    </w:p>
    <w:p>
      <w:pPr>
        <w:pStyle w:val="BodyText"/>
        <w:spacing w:before="7"/>
        <w:rPr>
          <w:sz w:val="24"/>
        </w:rPr>
      </w:pPr>
    </w:p>
    <w:p>
      <w:pPr>
        <w:pStyle w:val="ListParagraph"/>
        <w:numPr>
          <w:ilvl w:val="0"/>
          <w:numId w:val="100"/>
        </w:numPr>
        <w:tabs>
          <w:tab w:pos="948" w:val="left" w:leader="none"/>
        </w:tabs>
        <w:spacing w:line="276" w:lineRule="auto" w:before="0" w:after="0"/>
        <w:ind w:left="726" w:right="1402" w:firstLine="0"/>
        <w:jc w:val="left"/>
        <w:rPr>
          <w:sz w:val="20"/>
        </w:rPr>
      </w:pPr>
      <w:r>
        <w:rPr>
          <w:sz w:val="20"/>
        </w:rPr>
        <w:t>Her denetim makamının görevlerinin yerine getirilmesi veri sahibi ve, uygun olan hallerde , veri koruma görevlisi için</w:t>
      </w:r>
      <w:r>
        <w:rPr>
          <w:spacing w:val="-5"/>
          <w:sz w:val="20"/>
        </w:rPr>
        <w:t> </w:t>
      </w:r>
      <w:r>
        <w:rPr>
          <w:sz w:val="20"/>
        </w:rPr>
        <w:t>ücretsizdir.</w:t>
      </w:r>
    </w:p>
    <w:p>
      <w:pPr>
        <w:pStyle w:val="BodyText"/>
        <w:rPr>
          <w:sz w:val="22"/>
        </w:rPr>
      </w:pPr>
    </w:p>
    <w:p>
      <w:pPr>
        <w:pStyle w:val="BodyText"/>
        <w:spacing w:before="10"/>
        <w:rPr>
          <w:sz w:val="24"/>
        </w:rPr>
      </w:pPr>
    </w:p>
    <w:p>
      <w:pPr>
        <w:pStyle w:val="ListParagraph"/>
        <w:numPr>
          <w:ilvl w:val="0"/>
          <w:numId w:val="100"/>
        </w:numPr>
        <w:tabs>
          <w:tab w:pos="982" w:val="left" w:leader="none"/>
        </w:tabs>
        <w:spacing w:line="276" w:lineRule="auto" w:before="1" w:after="0"/>
        <w:ind w:left="726" w:right="691" w:firstLine="0"/>
        <w:jc w:val="both"/>
        <w:rPr>
          <w:sz w:val="20"/>
        </w:rPr>
      </w:pPr>
      <w:r>
        <w:rPr>
          <w:sz w:val="20"/>
        </w:rPr>
        <w:t>Taleplerin özellikle tekrar eden niteliği nedeniyle asılsız veya ölçüsüz olduğunun açıkça görüldüğü hallerde, denetim makamı idari masraflara dayalı olarak makul bir ücret talep edebilir veya taleple ilgili işlem yapmayı reddedebilir. Denetim makamı talebin açık bir şekilde asılsız veya ölçüsüz olduğunu gösterme yükümlülüğünü</w:t>
      </w:r>
      <w:r>
        <w:rPr>
          <w:spacing w:val="-2"/>
          <w:sz w:val="20"/>
        </w:rPr>
        <w:t> </w:t>
      </w:r>
      <w:r>
        <w:rPr>
          <w:sz w:val="20"/>
        </w:rPr>
        <w:t>taşır.</w:t>
      </w:r>
    </w:p>
    <w:p>
      <w:pPr>
        <w:pStyle w:val="BodyText"/>
        <w:rPr>
          <w:sz w:val="23"/>
        </w:rPr>
      </w:pPr>
    </w:p>
    <w:p>
      <w:pPr>
        <w:pStyle w:val="BodyText"/>
        <w:spacing w:line="276" w:lineRule="auto"/>
        <w:ind w:left="5035" w:right="5053"/>
        <w:jc w:val="center"/>
      </w:pPr>
      <w:r>
        <w:rPr/>
        <w:t>Madde 58</w:t>
      </w:r>
    </w:p>
    <w:p>
      <w:pPr>
        <w:pStyle w:val="BodyText"/>
        <w:spacing w:before="10"/>
        <w:rPr>
          <w:sz w:val="22"/>
        </w:rPr>
      </w:pPr>
    </w:p>
    <w:p>
      <w:pPr>
        <w:pStyle w:val="Heading1"/>
        <w:ind w:right="2135"/>
      </w:pPr>
      <w:r>
        <w:rPr/>
        <w:t>Yetkiler</w:t>
      </w:r>
    </w:p>
    <w:p>
      <w:pPr>
        <w:pStyle w:val="BodyText"/>
        <w:spacing w:before="4"/>
        <w:rPr>
          <w:b/>
          <w:sz w:val="27"/>
        </w:rPr>
      </w:pPr>
    </w:p>
    <w:p>
      <w:pPr>
        <w:pStyle w:val="ListParagraph"/>
        <w:numPr>
          <w:ilvl w:val="0"/>
          <w:numId w:val="102"/>
        </w:numPr>
        <w:tabs>
          <w:tab w:pos="948" w:val="left" w:leader="none"/>
        </w:tabs>
        <w:spacing w:line="240" w:lineRule="auto" w:before="0" w:after="0"/>
        <w:ind w:left="726" w:right="0" w:firstLine="0"/>
        <w:jc w:val="left"/>
        <w:rPr>
          <w:sz w:val="20"/>
        </w:rPr>
      </w:pPr>
      <w:r>
        <w:rPr>
          <w:sz w:val="20"/>
        </w:rPr>
        <w:t>Her denetim makamı aşağıdaki tüm soruşturma yetkilerine</w:t>
      </w:r>
      <w:r>
        <w:rPr>
          <w:spacing w:val="-3"/>
          <w:sz w:val="20"/>
        </w:rPr>
        <w:t> </w:t>
      </w:r>
      <w:r>
        <w:rPr>
          <w:sz w:val="20"/>
        </w:rPr>
        <w:t>sahiptir:</w:t>
      </w:r>
    </w:p>
    <w:p>
      <w:pPr>
        <w:pStyle w:val="BodyText"/>
        <w:rPr>
          <w:sz w:val="27"/>
        </w:rPr>
      </w:pPr>
    </w:p>
    <w:p>
      <w:pPr>
        <w:pStyle w:val="ListParagraph"/>
        <w:numPr>
          <w:ilvl w:val="0"/>
          <w:numId w:val="103"/>
        </w:numPr>
        <w:tabs>
          <w:tab w:pos="1027" w:val="left" w:leader="none"/>
        </w:tabs>
        <w:spacing w:line="276" w:lineRule="auto" w:before="0" w:after="0"/>
        <w:ind w:left="1022" w:right="1287" w:hanging="296"/>
        <w:jc w:val="left"/>
        <w:rPr>
          <w:sz w:val="20"/>
        </w:rPr>
      </w:pPr>
      <w:r>
        <w:rPr>
          <w:sz w:val="20"/>
        </w:rPr>
        <w:t>görevlerinin yerine getirilmesi için ihtiyaç duyduğu bilgilerin sağlanması hususunda kontrolör ve işleyici</w:t>
      </w:r>
      <w:r>
        <w:rPr>
          <w:spacing w:val="-3"/>
          <w:sz w:val="20"/>
        </w:rPr>
        <w:t> </w:t>
      </w:r>
      <w:r>
        <w:rPr>
          <w:sz w:val="20"/>
        </w:rPr>
        <w:t>ve,</w:t>
      </w:r>
      <w:r>
        <w:rPr>
          <w:spacing w:val="-6"/>
          <w:sz w:val="20"/>
        </w:rPr>
        <w:t> </w:t>
      </w:r>
      <w:r>
        <w:rPr>
          <w:sz w:val="20"/>
        </w:rPr>
        <w:t>uygun</w:t>
      </w:r>
      <w:r>
        <w:rPr>
          <w:spacing w:val="-6"/>
          <w:sz w:val="20"/>
        </w:rPr>
        <w:t> </w:t>
      </w:r>
      <w:r>
        <w:rPr>
          <w:sz w:val="20"/>
        </w:rPr>
        <w:t>olduğu</w:t>
      </w:r>
      <w:r>
        <w:rPr>
          <w:spacing w:val="-3"/>
          <w:sz w:val="20"/>
        </w:rPr>
        <w:t> </w:t>
      </w:r>
      <w:r>
        <w:rPr>
          <w:sz w:val="20"/>
        </w:rPr>
        <w:t>hallerde,</w:t>
      </w:r>
      <w:r>
        <w:rPr>
          <w:spacing w:val="-6"/>
          <w:sz w:val="20"/>
        </w:rPr>
        <w:t> </w:t>
      </w:r>
      <w:r>
        <w:rPr>
          <w:sz w:val="20"/>
        </w:rPr>
        <w:t>kontrolörün</w:t>
      </w:r>
      <w:r>
        <w:rPr>
          <w:spacing w:val="-3"/>
          <w:sz w:val="20"/>
        </w:rPr>
        <w:t> </w:t>
      </w:r>
      <w:r>
        <w:rPr>
          <w:sz w:val="20"/>
        </w:rPr>
        <w:t>veya</w:t>
      </w:r>
      <w:r>
        <w:rPr>
          <w:spacing w:val="-3"/>
          <w:sz w:val="20"/>
        </w:rPr>
        <w:t> </w:t>
      </w:r>
      <w:r>
        <w:rPr>
          <w:sz w:val="20"/>
        </w:rPr>
        <w:t>işleyicinin</w:t>
      </w:r>
      <w:r>
        <w:rPr>
          <w:spacing w:val="-5"/>
          <w:sz w:val="20"/>
        </w:rPr>
        <w:t> </w:t>
      </w:r>
      <w:r>
        <w:rPr>
          <w:sz w:val="20"/>
        </w:rPr>
        <w:t>temsilcisine</w:t>
      </w:r>
      <w:r>
        <w:rPr>
          <w:spacing w:val="-3"/>
          <w:sz w:val="20"/>
        </w:rPr>
        <w:t> </w:t>
      </w:r>
      <w:r>
        <w:rPr>
          <w:sz w:val="20"/>
        </w:rPr>
        <w:t>talimat</w:t>
      </w:r>
      <w:r>
        <w:rPr>
          <w:spacing w:val="-6"/>
          <w:sz w:val="20"/>
        </w:rPr>
        <w:t> </w:t>
      </w:r>
      <w:r>
        <w:rPr>
          <w:sz w:val="20"/>
        </w:rPr>
        <w:t>verilmesi;</w:t>
      </w:r>
    </w:p>
    <w:p>
      <w:pPr>
        <w:spacing w:after="0" w:line="276" w:lineRule="auto"/>
        <w:jc w:val="left"/>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103"/>
        </w:numPr>
        <w:tabs>
          <w:tab w:pos="1027" w:val="left" w:leader="none"/>
        </w:tabs>
        <w:spacing w:line="240" w:lineRule="auto" w:before="66" w:after="0"/>
        <w:ind w:left="1022" w:right="0" w:hanging="296"/>
        <w:jc w:val="left"/>
        <w:rPr>
          <w:sz w:val="20"/>
        </w:rPr>
      </w:pPr>
      <w:r>
        <w:rPr>
          <w:sz w:val="20"/>
        </w:rPr>
        <w:t>veri koruma denetimleri biçiminde soruşturmalar</w:t>
      </w:r>
      <w:r>
        <w:rPr>
          <w:spacing w:val="-5"/>
          <w:sz w:val="20"/>
        </w:rPr>
        <w:t> </w:t>
      </w:r>
      <w:r>
        <w:rPr>
          <w:sz w:val="20"/>
        </w:rPr>
        <w:t>yürütülmesi;</w:t>
      </w:r>
    </w:p>
    <w:p>
      <w:pPr>
        <w:pStyle w:val="BodyText"/>
        <w:rPr>
          <w:sz w:val="22"/>
        </w:rPr>
      </w:pPr>
    </w:p>
    <w:p>
      <w:pPr>
        <w:pStyle w:val="BodyText"/>
        <w:spacing w:before="2"/>
        <w:rPr>
          <w:sz w:val="19"/>
        </w:rPr>
      </w:pPr>
    </w:p>
    <w:p>
      <w:pPr>
        <w:pStyle w:val="ListParagraph"/>
        <w:numPr>
          <w:ilvl w:val="0"/>
          <w:numId w:val="103"/>
        </w:numPr>
        <w:tabs>
          <w:tab w:pos="1019" w:val="left" w:leader="none"/>
        </w:tabs>
        <w:spacing w:line="278" w:lineRule="auto" w:before="0" w:after="0"/>
        <w:ind w:left="726" w:right="4246" w:firstLine="0"/>
        <w:jc w:val="left"/>
        <w:rPr>
          <w:sz w:val="20"/>
        </w:rPr>
      </w:pPr>
      <w:r>
        <w:rPr>
          <w:sz w:val="20"/>
        </w:rPr>
        <w:t>42(7) maddesi uyarınca sağlanan belgelendirmelere ilişkin bir gözden geçirme</w:t>
      </w:r>
      <w:r>
        <w:rPr>
          <w:spacing w:val="0"/>
          <w:sz w:val="20"/>
        </w:rPr>
        <w:t> </w:t>
      </w:r>
      <w:r>
        <w:rPr>
          <w:sz w:val="20"/>
        </w:rPr>
        <w:t>yapılması;</w:t>
      </w:r>
    </w:p>
    <w:p>
      <w:pPr>
        <w:pStyle w:val="ListParagraph"/>
        <w:numPr>
          <w:ilvl w:val="0"/>
          <w:numId w:val="103"/>
        </w:numPr>
        <w:tabs>
          <w:tab w:pos="1027" w:val="left" w:leader="none"/>
        </w:tabs>
        <w:spacing w:line="240" w:lineRule="auto" w:before="84" w:after="0"/>
        <w:ind w:left="1026" w:right="0" w:hanging="300"/>
        <w:jc w:val="left"/>
        <w:rPr>
          <w:sz w:val="20"/>
        </w:rPr>
      </w:pPr>
      <w:r>
        <w:rPr>
          <w:sz w:val="20"/>
        </w:rPr>
        <w:t>bu Tüzük’le ilgili bir ihlal iddiasının kontrolör veya işleyiciye</w:t>
      </w:r>
      <w:r>
        <w:rPr>
          <w:spacing w:val="-5"/>
          <w:sz w:val="20"/>
        </w:rPr>
        <w:t> </w:t>
      </w:r>
      <w:r>
        <w:rPr>
          <w:sz w:val="20"/>
        </w:rPr>
        <w:t>bildirilmesi;</w:t>
      </w:r>
    </w:p>
    <w:p>
      <w:pPr>
        <w:pStyle w:val="BodyText"/>
        <w:spacing w:before="1"/>
        <w:rPr>
          <w:sz w:val="27"/>
        </w:rPr>
      </w:pPr>
    </w:p>
    <w:p>
      <w:pPr>
        <w:pStyle w:val="ListParagraph"/>
        <w:numPr>
          <w:ilvl w:val="0"/>
          <w:numId w:val="103"/>
        </w:numPr>
        <w:tabs>
          <w:tab w:pos="1027" w:val="left" w:leader="none"/>
        </w:tabs>
        <w:spacing w:line="276" w:lineRule="auto" w:before="1" w:after="0"/>
        <w:ind w:left="1022" w:right="789" w:hanging="296"/>
        <w:jc w:val="left"/>
        <w:rPr>
          <w:sz w:val="20"/>
        </w:rPr>
      </w:pPr>
      <w:r>
        <w:rPr>
          <w:sz w:val="20"/>
        </w:rPr>
        <w:t>görevlerinin yerine getirilmesi için gereken tüm kişisel veriler ve tüm bilgilere erişimin kontrolörden ve işleyiciden sağlanması;</w:t>
      </w:r>
    </w:p>
    <w:p>
      <w:pPr>
        <w:pStyle w:val="BodyText"/>
        <w:spacing w:before="5"/>
        <w:rPr>
          <w:sz w:val="23"/>
        </w:rPr>
      </w:pPr>
    </w:p>
    <w:p>
      <w:pPr>
        <w:pStyle w:val="ListParagraph"/>
        <w:numPr>
          <w:ilvl w:val="0"/>
          <w:numId w:val="103"/>
        </w:numPr>
        <w:tabs>
          <w:tab w:pos="974" w:val="left" w:leader="none"/>
        </w:tabs>
        <w:spacing w:line="276" w:lineRule="auto" w:before="0" w:after="0"/>
        <w:ind w:left="1022" w:right="573" w:hanging="296"/>
        <w:jc w:val="left"/>
        <w:rPr>
          <w:sz w:val="20"/>
        </w:rPr>
      </w:pPr>
      <w:r>
        <w:rPr>
          <w:sz w:val="20"/>
        </w:rPr>
        <w:t>Birlik veya üye devlet usul hukuku uyarınca her türlü veri işleme ekipmanı ve aracı da dahil olmak üzere kontrolör ve işleyicinin her türlü tesisine erişim</w:t>
      </w:r>
      <w:r>
        <w:rPr>
          <w:spacing w:val="-3"/>
          <w:sz w:val="20"/>
        </w:rPr>
        <w:t> </w:t>
      </w:r>
      <w:r>
        <w:rPr>
          <w:sz w:val="20"/>
        </w:rPr>
        <w:t>sağlanması.</w:t>
      </w:r>
    </w:p>
    <w:p>
      <w:pPr>
        <w:pStyle w:val="BodyText"/>
        <w:spacing w:before="4"/>
        <w:rPr>
          <w:sz w:val="23"/>
        </w:rPr>
      </w:pPr>
    </w:p>
    <w:p>
      <w:pPr>
        <w:pStyle w:val="ListParagraph"/>
        <w:numPr>
          <w:ilvl w:val="0"/>
          <w:numId w:val="102"/>
        </w:numPr>
        <w:tabs>
          <w:tab w:pos="948" w:val="left" w:leader="none"/>
        </w:tabs>
        <w:spacing w:line="240" w:lineRule="auto" w:before="0" w:after="0"/>
        <w:ind w:left="726" w:right="0" w:firstLine="0"/>
        <w:jc w:val="left"/>
        <w:rPr>
          <w:sz w:val="20"/>
        </w:rPr>
      </w:pPr>
      <w:r>
        <w:rPr>
          <w:sz w:val="20"/>
        </w:rPr>
        <w:t>Her denetim makamı aşağıdaki tüm düzeltme yetkilerine</w:t>
      </w:r>
      <w:r>
        <w:rPr>
          <w:spacing w:val="-40"/>
          <w:sz w:val="20"/>
        </w:rPr>
        <w:t> </w:t>
      </w:r>
      <w:r>
        <w:rPr>
          <w:sz w:val="20"/>
        </w:rPr>
        <w:t>sahiptir:</w:t>
      </w:r>
    </w:p>
    <w:p>
      <w:pPr>
        <w:pStyle w:val="BodyText"/>
        <w:rPr>
          <w:sz w:val="27"/>
        </w:rPr>
      </w:pPr>
    </w:p>
    <w:p>
      <w:pPr>
        <w:pStyle w:val="ListParagraph"/>
        <w:numPr>
          <w:ilvl w:val="0"/>
          <w:numId w:val="104"/>
        </w:numPr>
        <w:tabs>
          <w:tab w:pos="1027" w:val="left" w:leader="none"/>
        </w:tabs>
        <w:spacing w:line="276" w:lineRule="auto" w:before="0" w:after="0"/>
        <w:ind w:left="1024" w:right="849" w:hanging="298"/>
        <w:jc w:val="left"/>
        <w:rPr>
          <w:sz w:val="20"/>
        </w:rPr>
      </w:pPr>
      <w:r>
        <w:rPr>
          <w:sz w:val="20"/>
        </w:rPr>
        <w:t>bir kontrolör veya işleyiciye amaçlanan işleme faaliyetlerinin bu Tüzük’ün hükümlerini ihlal etmesinin muhtemel olduğu hususunda ihtarlarda</w:t>
      </w:r>
      <w:r>
        <w:rPr>
          <w:spacing w:val="-4"/>
          <w:sz w:val="20"/>
        </w:rPr>
        <w:t> </w:t>
      </w:r>
      <w:r>
        <w:rPr>
          <w:sz w:val="20"/>
        </w:rPr>
        <w:t>bulunulması;</w:t>
      </w:r>
    </w:p>
    <w:p>
      <w:pPr>
        <w:pStyle w:val="BodyText"/>
        <w:spacing w:before="3"/>
        <w:rPr>
          <w:sz w:val="23"/>
        </w:rPr>
      </w:pPr>
    </w:p>
    <w:p>
      <w:pPr>
        <w:pStyle w:val="ListParagraph"/>
        <w:numPr>
          <w:ilvl w:val="0"/>
          <w:numId w:val="104"/>
        </w:numPr>
        <w:tabs>
          <w:tab w:pos="1034" w:val="left" w:leader="none"/>
        </w:tabs>
        <w:spacing w:line="276" w:lineRule="auto" w:before="0" w:after="0"/>
        <w:ind w:left="726" w:right="704" w:firstLine="0"/>
        <w:jc w:val="left"/>
        <w:rPr>
          <w:sz w:val="20"/>
        </w:rPr>
      </w:pPr>
      <w:r>
        <w:rPr>
          <w:sz w:val="20"/>
        </w:rPr>
        <w:t>işleme faaliyetlerinin bu Tüzük’ün hükümlerini ihlal etmiş olduğu hallerde, bir kontrolör veya işleyiciye kınama cezaları verilmesi;</w:t>
      </w:r>
    </w:p>
    <w:p>
      <w:pPr>
        <w:pStyle w:val="BodyText"/>
        <w:rPr>
          <w:sz w:val="22"/>
        </w:rPr>
      </w:pPr>
    </w:p>
    <w:p>
      <w:pPr>
        <w:pStyle w:val="BodyText"/>
        <w:spacing w:before="10"/>
        <w:rPr>
          <w:sz w:val="24"/>
        </w:rPr>
      </w:pPr>
    </w:p>
    <w:p>
      <w:pPr>
        <w:pStyle w:val="ListParagraph"/>
        <w:numPr>
          <w:ilvl w:val="0"/>
          <w:numId w:val="104"/>
        </w:numPr>
        <w:tabs>
          <w:tab w:pos="1017" w:val="left" w:leader="none"/>
        </w:tabs>
        <w:spacing w:line="276" w:lineRule="auto" w:before="0" w:after="0"/>
        <w:ind w:left="1024" w:right="1237" w:hanging="298"/>
        <w:jc w:val="left"/>
        <w:rPr>
          <w:sz w:val="20"/>
        </w:rPr>
      </w:pPr>
      <w:r>
        <w:rPr>
          <w:sz w:val="20"/>
        </w:rPr>
        <w:t>veri sahibinin bu Tüzük uyarınca sahip olduğu haklarının kullanımına ilişkin taleplerine uyulması hususunda kontrolör veya işleyiciye talimat</w:t>
      </w:r>
      <w:r>
        <w:rPr>
          <w:spacing w:val="-4"/>
          <w:sz w:val="20"/>
        </w:rPr>
        <w:t> </w:t>
      </w:r>
      <w:r>
        <w:rPr>
          <w:sz w:val="20"/>
        </w:rPr>
        <w:t>verilmesi;</w:t>
      </w:r>
    </w:p>
    <w:p>
      <w:pPr>
        <w:pStyle w:val="BodyText"/>
        <w:spacing w:before="11"/>
        <w:rPr>
          <w:sz w:val="22"/>
        </w:rPr>
      </w:pPr>
    </w:p>
    <w:p>
      <w:pPr>
        <w:pStyle w:val="ListParagraph"/>
        <w:numPr>
          <w:ilvl w:val="0"/>
          <w:numId w:val="104"/>
        </w:numPr>
        <w:tabs>
          <w:tab w:pos="1051" w:val="left" w:leader="none"/>
        </w:tabs>
        <w:spacing w:line="278" w:lineRule="auto" w:before="0" w:after="0"/>
        <w:ind w:left="726" w:right="701" w:firstLine="0"/>
        <w:jc w:val="left"/>
        <w:rPr>
          <w:sz w:val="20"/>
        </w:rPr>
      </w:pPr>
      <w:r>
        <w:rPr>
          <w:sz w:val="20"/>
        </w:rPr>
        <w:t>işleme faaliyetlerinin, uygun olduğu hallerde, belirtilen bir şekilde ve belirtilen bir süre içerisinde bu Tüzük’ün hükümlerine uyumlu hale getirilmesi hususunda kontrolör veya işleyiciye talimat</w:t>
      </w:r>
      <w:r>
        <w:rPr>
          <w:spacing w:val="-36"/>
          <w:sz w:val="20"/>
        </w:rPr>
        <w:t> </w:t>
      </w:r>
      <w:r>
        <w:rPr>
          <w:sz w:val="20"/>
        </w:rPr>
        <w:t>verilmesi;</w:t>
      </w:r>
    </w:p>
    <w:p>
      <w:pPr>
        <w:pStyle w:val="BodyText"/>
        <w:spacing w:before="5"/>
        <w:rPr>
          <w:sz w:val="27"/>
        </w:rPr>
      </w:pPr>
    </w:p>
    <w:p>
      <w:pPr>
        <w:pStyle w:val="ListParagraph"/>
        <w:numPr>
          <w:ilvl w:val="0"/>
          <w:numId w:val="104"/>
        </w:numPr>
        <w:tabs>
          <w:tab w:pos="1027" w:val="left" w:leader="none"/>
        </w:tabs>
        <w:spacing w:line="276" w:lineRule="auto" w:before="0" w:after="0"/>
        <w:ind w:left="726" w:right="1713" w:firstLine="0"/>
        <w:jc w:val="left"/>
        <w:rPr>
          <w:sz w:val="20"/>
        </w:rPr>
      </w:pPr>
      <w:r>
        <w:rPr>
          <w:sz w:val="20"/>
        </w:rPr>
        <w:t>bir</w:t>
      </w:r>
      <w:r>
        <w:rPr>
          <w:spacing w:val="-6"/>
          <w:sz w:val="20"/>
        </w:rPr>
        <w:t> </w:t>
      </w:r>
      <w:r>
        <w:rPr>
          <w:sz w:val="20"/>
        </w:rPr>
        <w:t>kişisel</w:t>
      </w:r>
      <w:r>
        <w:rPr>
          <w:spacing w:val="-6"/>
          <w:sz w:val="20"/>
        </w:rPr>
        <w:t> </w:t>
      </w:r>
      <w:r>
        <w:rPr>
          <w:sz w:val="20"/>
        </w:rPr>
        <w:t>veri</w:t>
      </w:r>
      <w:r>
        <w:rPr>
          <w:spacing w:val="-5"/>
          <w:sz w:val="20"/>
        </w:rPr>
        <w:t> </w:t>
      </w:r>
      <w:r>
        <w:rPr>
          <w:sz w:val="20"/>
        </w:rPr>
        <w:t>ihlalinin</w:t>
      </w:r>
      <w:r>
        <w:rPr>
          <w:spacing w:val="-5"/>
          <w:sz w:val="20"/>
        </w:rPr>
        <w:t> </w:t>
      </w:r>
      <w:r>
        <w:rPr>
          <w:sz w:val="20"/>
        </w:rPr>
        <w:t>veri</w:t>
      </w:r>
      <w:r>
        <w:rPr>
          <w:spacing w:val="-7"/>
          <w:sz w:val="20"/>
        </w:rPr>
        <w:t> </w:t>
      </w:r>
      <w:r>
        <w:rPr>
          <w:sz w:val="20"/>
        </w:rPr>
        <w:t>sahibine</w:t>
      </w:r>
      <w:r>
        <w:rPr>
          <w:spacing w:val="-6"/>
          <w:sz w:val="20"/>
        </w:rPr>
        <w:t> </w:t>
      </w:r>
      <w:r>
        <w:rPr>
          <w:sz w:val="20"/>
        </w:rPr>
        <w:t>iletilmesi</w:t>
      </w:r>
      <w:r>
        <w:rPr>
          <w:spacing w:val="-7"/>
          <w:sz w:val="20"/>
        </w:rPr>
        <w:t> </w:t>
      </w:r>
      <w:r>
        <w:rPr>
          <w:sz w:val="20"/>
        </w:rPr>
        <w:t>hususunda</w:t>
      </w:r>
      <w:r>
        <w:rPr>
          <w:spacing w:val="-5"/>
          <w:sz w:val="20"/>
        </w:rPr>
        <w:t> </w:t>
      </w:r>
      <w:r>
        <w:rPr>
          <w:sz w:val="20"/>
        </w:rPr>
        <w:t>kontrolöre</w:t>
      </w:r>
      <w:r>
        <w:rPr>
          <w:spacing w:val="-7"/>
          <w:sz w:val="20"/>
        </w:rPr>
        <w:t> </w:t>
      </w:r>
      <w:r>
        <w:rPr>
          <w:sz w:val="20"/>
        </w:rPr>
        <w:t>talimat</w:t>
      </w:r>
      <w:r>
        <w:rPr>
          <w:spacing w:val="-7"/>
          <w:sz w:val="20"/>
        </w:rPr>
        <w:t> </w:t>
      </w:r>
      <w:r>
        <w:rPr>
          <w:sz w:val="20"/>
        </w:rPr>
        <w:t>verilmesi;</w:t>
      </w:r>
      <w:r>
        <w:rPr>
          <w:spacing w:val="-7"/>
          <w:sz w:val="20"/>
        </w:rPr>
        <w:t> </w:t>
      </w:r>
      <w:r>
        <w:rPr>
          <w:sz w:val="20"/>
        </w:rPr>
        <w:t>(f)</w:t>
      </w:r>
      <w:r>
        <w:rPr>
          <w:spacing w:val="-6"/>
          <w:sz w:val="20"/>
        </w:rPr>
        <w:t> </w:t>
      </w:r>
      <w:r>
        <w:rPr>
          <w:sz w:val="20"/>
        </w:rPr>
        <w:t>bir işleme yasağı da dahil olmak üzere geçici veya kati bir sınırlama</w:t>
      </w:r>
      <w:r>
        <w:rPr>
          <w:spacing w:val="-12"/>
          <w:sz w:val="20"/>
        </w:rPr>
        <w:t> </w:t>
      </w:r>
      <w:r>
        <w:rPr>
          <w:sz w:val="20"/>
        </w:rPr>
        <w:t>getirilmesi;</w:t>
      </w:r>
    </w:p>
    <w:p>
      <w:pPr>
        <w:pStyle w:val="BodyText"/>
        <w:spacing w:before="4"/>
        <w:rPr>
          <w:sz w:val="23"/>
        </w:rPr>
      </w:pPr>
    </w:p>
    <w:p>
      <w:pPr>
        <w:pStyle w:val="ListParagraph"/>
        <w:numPr>
          <w:ilvl w:val="0"/>
          <w:numId w:val="105"/>
        </w:numPr>
        <w:tabs>
          <w:tab w:pos="1039" w:val="left" w:leader="none"/>
        </w:tabs>
        <w:spacing w:line="276" w:lineRule="auto" w:before="0" w:after="0"/>
        <w:ind w:left="1024" w:right="699" w:hanging="298"/>
        <w:jc w:val="both"/>
        <w:rPr>
          <w:sz w:val="20"/>
        </w:rPr>
      </w:pPr>
      <w:r>
        <w:rPr>
          <w:sz w:val="20"/>
        </w:rPr>
        <w:t>16, 17 ve 18. maddeler uyarınca kişisel verilerin düzeltilmesi ya da silinmesi veya işleme faaliyetinin kısıtlanması ve 17(2) maddesi ile 19. madde uyarınca söz konusu işlemlerin kişisel verilerin açıklandığı alıcılara bildirilmesi yönünde talimat</w:t>
      </w:r>
      <w:r>
        <w:rPr>
          <w:spacing w:val="-5"/>
          <w:sz w:val="20"/>
        </w:rPr>
        <w:t> </w:t>
      </w:r>
      <w:r>
        <w:rPr>
          <w:sz w:val="20"/>
        </w:rPr>
        <w:t>verilmesi;</w:t>
      </w:r>
    </w:p>
    <w:p>
      <w:pPr>
        <w:pStyle w:val="BodyText"/>
        <w:spacing w:before="1"/>
        <w:rPr>
          <w:sz w:val="24"/>
        </w:rPr>
      </w:pPr>
    </w:p>
    <w:p>
      <w:pPr>
        <w:pStyle w:val="ListParagraph"/>
        <w:numPr>
          <w:ilvl w:val="0"/>
          <w:numId w:val="105"/>
        </w:numPr>
        <w:tabs>
          <w:tab w:pos="1082" w:val="left" w:leader="none"/>
        </w:tabs>
        <w:spacing w:line="276" w:lineRule="auto" w:before="0" w:after="0"/>
        <w:ind w:left="1024" w:right="697" w:hanging="298"/>
        <w:jc w:val="both"/>
        <w:rPr>
          <w:sz w:val="20"/>
        </w:rPr>
      </w:pPr>
      <w:r>
        <w:rPr>
          <w:sz w:val="20"/>
        </w:rPr>
        <w:t>42 ve 43. maddeler uyarınca sağlanan bir belgelendirmenin geri çekilmesi veya belgelendirme organına söz konusu belgelendirmenin geri çekilmesi yönünde talimat verilmesi, veya belgelendirme gerekliliklerinin yerine getirilmediği veya artık yerine getirilmediği hallerde, belgelendirme organına belgelendirme sağlamaması yönünde talimat</w:t>
      </w:r>
      <w:r>
        <w:rPr>
          <w:spacing w:val="-6"/>
          <w:sz w:val="20"/>
        </w:rPr>
        <w:t> </w:t>
      </w:r>
      <w:r>
        <w:rPr>
          <w:sz w:val="20"/>
        </w:rPr>
        <w:t>verilmesi;</w:t>
      </w:r>
    </w:p>
    <w:p>
      <w:pPr>
        <w:pStyle w:val="BodyText"/>
        <w:spacing w:before="3"/>
        <w:rPr>
          <w:sz w:val="24"/>
        </w:rPr>
      </w:pPr>
    </w:p>
    <w:p>
      <w:pPr>
        <w:pStyle w:val="ListParagraph"/>
        <w:numPr>
          <w:ilvl w:val="0"/>
          <w:numId w:val="105"/>
        </w:numPr>
        <w:tabs>
          <w:tab w:pos="993" w:val="left" w:leader="none"/>
        </w:tabs>
        <w:spacing w:line="276" w:lineRule="auto" w:before="0" w:after="0"/>
        <w:ind w:left="1024" w:right="701" w:hanging="298"/>
        <w:jc w:val="left"/>
        <w:rPr>
          <w:sz w:val="20"/>
        </w:rPr>
      </w:pPr>
      <w:r>
        <w:rPr>
          <w:sz w:val="20"/>
        </w:rPr>
        <w:t>her münferit durumun koşullarına dayalı olarak, bu paragrafta atıfta bulunulan tedbirlere ek olarak veya bu tedbirler yerine 83. madde uyarınca bir idari para cezası</w:t>
      </w:r>
      <w:r>
        <w:rPr>
          <w:spacing w:val="-10"/>
          <w:sz w:val="20"/>
        </w:rPr>
        <w:t> </w:t>
      </w:r>
      <w:r>
        <w:rPr>
          <w:sz w:val="20"/>
        </w:rPr>
        <w:t>kesilmesi;</w:t>
      </w:r>
    </w:p>
    <w:p>
      <w:pPr>
        <w:pStyle w:val="ListParagraph"/>
        <w:numPr>
          <w:ilvl w:val="0"/>
          <w:numId w:val="105"/>
        </w:numPr>
        <w:tabs>
          <w:tab w:pos="978" w:val="left" w:leader="none"/>
        </w:tabs>
        <w:spacing w:line="278" w:lineRule="auto" w:before="91" w:after="0"/>
        <w:ind w:left="726" w:right="1594" w:firstLine="0"/>
        <w:jc w:val="left"/>
        <w:rPr>
          <w:sz w:val="20"/>
        </w:rPr>
      </w:pPr>
      <w:r>
        <w:rPr>
          <w:sz w:val="20"/>
        </w:rPr>
        <w:t>üçüncü bir ülkedeki bir alıcıya veya uluslararası bir kuruluşa yönelik veri akışlarının askıya alınması yönünde talimat</w:t>
      </w:r>
      <w:r>
        <w:rPr>
          <w:spacing w:val="-4"/>
          <w:sz w:val="20"/>
        </w:rPr>
        <w:t> </w:t>
      </w:r>
      <w:r>
        <w:rPr>
          <w:sz w:val="20"/>
        </w:rPr>
        <w:t>verilmesi.</w:t>
      </w:r>
    </w:p>
    <w:p>
      <w:pPr>
        <w:pStyle w:val="ListParagraph"/>
        <w:numPr>
          <w:ilvl w:val="0"/>
          <w:numId w:val="102"/>
        </w:numPr>
        <w:tabs>
          <w:tab w:pos="948" w:val="left" w:leader="none"/>
        </w:tabs>
        <w:spacing w:line="240" w:lineRule="auto" w:before="52" w:after="0"/>
        <w:ind w:left="726" w:right="0" w:firstLine="0"/>
        <w:jc w:val="left"/>
        <w:rPr>
          <w:sz w:val="20"/>
        </w:rPr>
      </w:pPr>
      <w:r>
        <w:rPr>
          <w:sz w:val="20"/>
        </w:rPr>
        <w:t>Her denetim makamı aşağıdaki tüm yetkilendirme ve danışma yetkilerine</w:t>
      </w:r>
      <w:r>
        <w:rPr>
          <w:spacing w:val="-3"/>
          <w:sz w:val="20"/>
        </w:rPr>
        <w:t> </w:t>
      </w:r>
      <w:r>
        <w:rPr>
          <w:sz w:val="20"/>
        </w:rPr>
        <w:t>sahiptir:</w:t>
      </w:r>
    </w:p>
    <w:p>
      <w:pPr>
        <w:pStyle w:val="ListParagraph"/>
        <w:numPr>
          <w:ilvl w:val="0"/>
          <w:numId w:val="106"/>
        </w:numPr>
        <w:tabs>
          <w:tab w:pos="1128" w:val="left" w:leader="none"/>
        </w:tabs>
        <w:spacing w:line="276" w:lineRule="auto" w:before="89" w:after="0"/>
        <w:ind w:left="726" w:right="1919" w:firstLine="0"/>
        <w:jc w:val="left"/>
        <w:rPr>
          <w:sz w:val="20"/>
        </w:rPr>
      </w:pPr>
      <w:r>
        <w:rPr>
          <w:sz w:val="20"/>
        </w:rPr>
        <w:t>36. maddede atıfta bulunulan ön istişare usulü uyarınca kontrolöre tavsiyede bulunulması;</w:t>
      </w:r>
    </w:p>
    <w:p>
      <w:pPr>
        <w:pStyle w:val="BodyText"/>
        <w:spacing w:before="8"/>
        <w:rPr>
          <w:sz w:val="23"/>
        </w:rPr>
      </w:pPr>
    </w:p>
    <w:p>
      <w:pPr>
        <w:pStyle w:val="ListParagraph"/>
        <w:numPr>
          <w:ilvl w:val="0"/>
          <w:numId w:val="106"/>
        </w:numPr>
        <w:tabs>
          <w:tab w:pos="1077" w:val="left" w:leader="none"/>
        </w:tabs>
        <w:spacing w:line="276" w:lineRule="auto" w:before="0" w:after="0"/>
        <w:ind w:left="1024" w:right="695" w:hanging="298"/>
        <w:jc w:val="both"/>
        <w:rPr>
          <w:sz w:val="20"/>
        </w:rPr>
      </w:pPr>
      <w:r>
        <w:rPr>
          <w:sz w:val="20"/>
        </w:rPr>
        <w:t>kendi inisiyatifiyle veya talep üzerine, ulusal parlamento, üye devlet hükümeti veya, üye devlet hukuku uyarınca, diğer kuruluşlar ve organların yanı sıra kamuoyuna kişisel verilerin korunmasıyla ilgili herhangi bir konuda görüş</w:t>
      </w:r>
      <w:r>
        <w:rPr>
          <w:spacing w:val="-5"/>
          <w:sz w:val="20"/>
        </w:rPr>
        <w:t> </w:t>
      </w:r>
      <w:r>
        <w:rPr>
          <w:sz w:val="20"/>
        </w:rPr>
        <w:t>bildirilmesi;</w:t>
      </w:r>
    </w:p>
    <w:p>
      <w:pPr>
        <w:pStyle w:val="ListParagraph"/>
        <w:numPr>
          <w:ilvl w:val="0"/>
          <w:numId w:val="106"/>
        </w:numPr>
        <w:tabs>
          <w:tab w:pos="1043" w:val="left" w:leader="none"/>
        </w:tabs>
        <w:spacing w:line="276" w:lineRule="auto" w:before="90" w:after="0"/>
        <w:ind w:left="726" w:right="743" w:firstLine="0"/>
        <w:jc w:val="both"/>
        <w:rPr>
          <w:sz w:val="20"/>
        </w:rPr>
      </w:pPr>
      <w:r>
        <w:rPr>
          <w:sz w:val="20"/>
        </w:rPr>
        <w:t>üye devlet hukukunun bir ön onay gerektirmesi halinde, 36(5) maddesinde atıfta bulunulan işleme faaliyetinin onaylanması; (d) 40(5) maddesi uyarınca davranış kuralları taslağına ilişkin bir görüş bildirilmesi ve taslağın</w:t>
      </w:r>
      <w:r>
        <w:rPr>
          <w:spacing w:val="-4"/>
          <w:sz w:val="20"/>
        </w:rPr>
        <w:t> </w:t>
      </w:r>
      <w:r>
        <w:rPr>
          <w:sz w:val="20"/>
        </w:rPr>
        <w:t>onaylanması;</w:t>
      </w:r>
    </w:p>
    <w:p>
      <w:pPr>
        <w:spacing w:after="0" w:line="276"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107"/>
        </w:numPr>
        <w:tabs>
          <w:tab w:pos="1027" w:val="left" w:leader="none"/>
        </w:tabs>
        <w:spacing w:line="240" w:lineRule="auto" w:before="78" w:after="0"/>
        <w:ind w:left="726" w:right="0" w:firstLine="0"/>
        <w:jc w:val="left"/>
        <w:rPr>
          <w:sz w:val="20"/>
        </w:rPr>
      </w:pPr>
      <w:r>
        <w:rPr>
          <w:sz w:val="20"/>
        </w:rPr>
        <w:t>43. madde uyarınca belgelendirme organlarının akredite</w:t>
      </w:r>
      <w:r>
        <w:rPr>
          <w:spacing w:val="-10"/>
          <w:sz w:val="20"/>
        </w:rPr>
        <w:t> </w:t>
      </w:r>
      <w:r>
        <w:rPr>
          <w:sz w:val="20"/>
        </w:rPr>
        <w:t>edilmesi;</w:t>
      </w:r>
    </w:p>
    <w:p>
      <w:pPr>
        <w:pStyle w:val="ListParagraph"/>
        <w:numPr>
          <w:ilvl w:val="0"/>
          <w:numId w:val="107"/>
        </w:numPr>
        <w:tabs>
          <w:tab w:pos="974" w:val="left" w:leader="none"/>
        </w:tabs>
        <w:spacing w:line="240" w:lineRule="auto" w:before="92" w:after="0"/>
        <w:ind w:left="973" w:right="0" w:hanging="247"/>
        <w:jc w:val="left"/>
        <w:rPr>
          <w:sz w:val="20"/>
        </w:rPr>
      </w:pPr>
      <w:r>
        <w:rPr>
          <w:sz w:val="20"/>
        </w:rPr>
        <w:t>42(5) maddesi uyarınca belgelendirme sağlanması ve belgelendirme kriterlerinin</w:t>
      </w:r>
      <w:r>
        <w:rPr>
          <w:spacing w:val="-18"/>
          <w:sz w:val="20"/>
        </w:rPr>
        <w:t> </w:t>
      </w:r>
      <w:r>
        <w:rPr>
          <w:sz w:val="20"/>
        </w:rPr>
        <w:t>onaylanması;</w:t>
      </w:r>
    </w:p>
    <w:p>
      <w:pPr>
        <w:pStyle w:val="ListParagraph"/>
        <w:numPr>
          <w:ilvl w:val="0"/>
          <w:numId w:val="107"/>
        </w:numPr>
        <w:tabs>
          <w:tab w:pos="1027" w:val="left" w:leader="none"/>
        </w:tabs>
        <w:spacing w:line="276" w:lineRule="auto" w:before="90" w:after="0"/>
        <w:ind w:left="726" w:right="777" w:firstLine="0"/>
        <w:jc w:val="left"/>
        <w:rPr>
          <w:sz w:val="20"/>
        </w:rPr>
      </w:pPr>
      <w:r>
        <w:rPr>
          <w:sz w:val="20"/>
        </w:rPr>
        <w:t>28(8)</w:t>
      </w:r>
      <w:r>
        <w:rPr>
          <w:spacing w:val="-5"/>
          <w:sz w:val="20"/>
        </w:rPr>
        <w:t> </w:t>
      </w:r>
      <w:r>
        <w:rPr>
          <w:sz w:val="20"/>
        </w:rPr>
        <w:t>maddesinde</w:t>
      </w:r>
      <w:r>
        <w:rPr>
          <w:spacing w:val="-4"/>
          <w:sz w:val="20"/>
        </w:rPr>
        <w:t> </w:t>
      </w:r>
      <w:r>
        <w:rPr>
          <w:sz w:val="20"/>
        </w:rPr>
        <w:t>ve</w:t>
      </w:r>
      <w:r>
        <w:rPr>
          <w:spacing w:val="-6"/>
          <w:sz w:val="20"/>
        </w:rPr>
        <w:t> </w:t>
      </w:r>
      <w:r>
        <w:rPr>
          <w:sz w:val="20"/>
        </w:rPr>
        <w:t>46(2)</w:t>
      </w:r>
      <w:r>
        <w:rPr>
          <w:spacing w:val="-5"/>
          <w:sz w:val="20"/>
        </w:rPr>
        <w:t> </w:t>
      </w:r>
      <w:r>
        <w:rPr>
          <w:sz w:val="20"/>
        </w:rPr>
        <w:t>maddesinin</w:t>
      </w:r>
      <w:r>
        <w:rPr>
          <w:spacing w:val="-6"/>
          <w:sz w:val="20"/>
        </w:rPr>
        <w:t> </w:t>
      </w:r>
      <w:r>
        <w:rPr>
          <w:sz w:val="20"/>
        </w:rPr>
        <w:t>(d)</w:t>
      </w:r>
      <w:r>
        <w:rPr>
          <w:spacing w:val="-5"/>
          <w:sz w:val="20"/>
        </w:rPr>
        <w:t> </w:t>
      </w:r>
      <w:r>
        <w:rPr>
          <w:sz w:val="20"/>
        </w:rPr>
        <w:t>bendinde</w:t>
      </w:r>
      <w:r>
        <w:rPr>
          <w:spacing w:val="-7"/>
          <w:sz w:val="20"/>
        </w:rPr>
        <w:t> </w:t>
      </w:r>
      <w:r>
        <w:rPr>
          <w:sz w:val="20"/>
        </w:rPr>
        <w:t>atıfta</w:t>
      </w:r>
      <w:r>
        <w:rPr>
          <w:spacing w:val="-6"/>
          <w:sz w:val="20"/>
        </w:rPr>
        <w:t> </w:t>
      </w:r>
      <w:r>
        <w:rPr>
          <w:sz w:val="20"/>
        </w:rPr>
        <w:t>bulunulan</w:t>
      </w:r>
      <w:r>
        <w:rPr>
          <w:spacing w:val="-6"/>
          <w:sz w:val="20"/>
        </w:rPr>
        <w:t> </w:t>
      </w:r>
      <w:r>
        <w:rPr>
          <w:sz w:val="20"/>
        </w:rPr>
        <w:t>standart</w:t>
      </w:r>
      <w:r>
        <w:rPr>
          <w:spacing w:val="-4"/>
          <w:sz w:val="20"/>
        </w:rPr>
        <w:t> </w:t>
      </w:r>
      <w:r>
        <w:rPr>
          <w:sz w:val="20"/>
        </w:rPr>
        <w:t>veri</w:t>
      </w:r>
      <w:r>
        <w:rPr>
          <w:spacing w:val="-4"/>
          <w:sz w:val="20"/>
        </w:rPr>
        <w:t> </w:t>
      </w:r>
      <w:r>
        <w:rPr>
          <w:sz w:val="20"/>
        </w:rPr>
        <w:t>koruma</w:t>
      </w:r>
      <w:r>
        <w:rPr>
          <w:spacing w:val="-6"/>
          <w:sz w:val="20"/>
        </w:rPr>
        <w:t> </w:t>
      </w:r>
      <w:r>
        <w:rPr>
          <w:sz w:val="20"/>
        </w:rPr>
        <w:t>şartlarının kabul edilmesi; (h) 46(3) maddesinin (a) bendinde atıfta bulunulan sözleşmeye bağlı maddelerin onaylanması;</w:t>
      </w:r>
    </w:p>
    <w:p>
      <w:pPr>
        <w:pStyle w:val="ListParagraph"/>
        <w:numPr>
          <w:ilvl w:val="0"/>
          <w:numId w:val="108"/>
        </w:numPr>
        <w:tabs>
          <w:tab w:pos="960" w:val="left" w:leader="none"/>
        </w:tabs>
        <w:spacing w:line="240" w:lineRule="auto" w:before="10" w:after="0"/>
        <w:ind w:left="959" w:right="0" w:hanging="233"/>
        <w:jc w:val="left"/>
        <w:rPr>
          <w:sz w:val="20"/>
        </w:rPr>
      </w:pPr>
      <w:r>
        <w:rPr>
          <w:sz w:val="20"/>
        </w:rPr>
        <w:t>46(3) maddesinin (b) bendinde atıfta bulunulan idari düzenlemelerin</w:t>
      </w:r>
      <w:r>
        <w:rPr>
          <w:spacing w:val="-6"/>
          <w:sz w:val="20"/>
        </w:rPr>
        <w:t> </w:t>
      </w:r>
      <w:r>
        <w:rPr>
          <w:sz w:val="20"/>
        </w:rPr>
        <w:t>onaylanması;</w:t>
      </w:r>
    </w:p>
    <w:p>
      <w:pPr>
        <w:pStyle w:val="ListParagraph"/>
        <w:numPr>
          <w:ilvl w:val="0"/>
          <w:numId w:val="108"/>
        </w:numPr>
        <w:tabs>
          <w:tab w:pos="962" w:val="left" w:leader="none"/>
        </w:tabs>
        <w:spacing w:line="240" w:lineRule="auto" w:before="49" w:after="0"/>
        <w:ind w:left="961" w:right="0" w:hanging="235"/>
        <w:jc w:val="left"/>
        <w:rPr>
          <w:sz w:val="20"/>
        </w:rPr>
      </w:pPr>
      <w:r>
        <w:rPr>
          <w:sz w:val="20"/>
        </w:rPr>
        <w:t>47. madde uyarınca bağlayıcı kurumsal kuralların</w:t>
      </w:r>
      <w:r>
        <w:rPr>
          <w:spacing w:val="-9"/>
          <w:sz w:val="20"/>
        </w:rPr>
        <w:t> </w:t>
      </w:r>
      <w:r>
        <w:rPr>
          <w:sz w:val="20"/>
        </w:rPr>
        <w:t>onaylanması.</w:t>
      </w:r>
    </w:p>
    <w:p>
      <w:pPr>
        <w:pStyle w:val="BodyText"/>
        <w:spacing w:before="6"/>
        <w:rPr>
          <w:sz w:val="26"/>
        </w:rPr>
      </w:pPr>
    </w:p>
    <w:p>
      <w:pPr>
        <w:pStyle w:val="ListParagraph"/>
        <w:numPr>
          <w:ilvl w:val="0"/>
          <w:numId w:val="102"/>
        </w:numPr>
        <w:tabs>
          <w:tab w:pos="955" w:val="left" w:leader="none"/>
        </w:tabs>
        <w:spacing w:line="276" w:lineRule="auto" w:before="0" w:after="0"/>
        <w:ind w:left="726" w:right="696" w:firstLine="0"/>
        <w:jc w:val="both"/>
        <w:rPr>
          <w:sz w:val="20"/>
        </w:rPr>
      </w:pPr>
      <w:r>
        <w:rPr>
          <w:sz w:val="20"/>
        </w:rPr>
        <w:t>Bu madde uyarınca denetim makamına verilen yetkilerin kullanımı etkili kanun yolu ve yargı süreci de dahil olmak üzere Bildirge uyarınca Birlik ve üye devlet hukukunda ortaya konan uygun güvencelere tabidir.</w:t>
      </w:r>
    </w:p>
    <w:p>
      <w:pPr>
        <w:pStyle w:val="BodyText"/>
        <w:rPr>
          <w:sz w:val="22"/>
        </w:rPr>
      </w:pPr>
    </w:p>
    <w:p>
      <w:pPr>
        <w:pStyle w:val="BodyText"/>
        <w:spacing w:before="10"/>
        <w:rPr>
          <w:sz w:val="24"/>
        </w:rPr>
      </w:pPr>
    </w:p>
    <w:p>
      <w:pPr>
        <w:pStyle w:val="ListParagraph"/>
        <w:numPr>
          <w:ilvl w:val="0"/>
          <w:numId w:val="102"/>
        </w:numPr>
        <w:tabs>
          <w:tab w:pos="1140" w:val="left" w:leader="none"/>
        </w:tabs>
        <w:spacing w:line="276" w:lineRule="auto" w:before="0" w:after="0"/>
        <w:ind w:left="726" w:right="690" w:firstLine="0"/>
        <w:jc w:val="both"/>
        <w:rPr>
          <w:sz w:val="20"/>
        </w:rPr>
      </w:pPr>
      <w:r>
        <w:rPr>
          <w:sz w:val="20"/>
        </w:rPr>
        <w:t>Her üye devlet, denetim makamının bu Tüzük’e ilişkin ihlalleri adli makamların dikkatine sunmasını ve, uygun olduğu hallerde, bu Tüzük’ün hükümlerinin uygulanması için yasal muameleler başlatmasını veya bu muamelelere başka bir şekilde müdahil olmasını kanunla</w:t>
      </w:r>
      <w:r>
        <w:rPr>
          <w:spacing w:val="-14"/>
          <w:sz w:val="20"/>
        </w:rPr>
        <w:t> </w:t>
      </w:r>
      <w:r>
        <w:rPr>
          <w:sz w:val="20"/>
        </w:rPr>
        <w:t>sağlar.</w:t>
      </w:r>
    </w:p>
    <w:p>
      <w:pPr>
        <w:pStyle w:val="BodyText"/>
        <w:rPr>
          <w:sz w:val="22"/>
        </w:rPr>
      </w:pPr>
    </w:p>
    <w:p>
      <w:pPr>
        <w:pStyle w:val="BodyText"/>
        <w:rPr>
          <w:sz w:val="24"/>
        </w:rPr>
      </w:pPr>
    </w:p>
    <w:p>
      <w:pPr>
        <w:pStyle w:val="ListParagraph"/>
        <w:numPr>
          <w:ilvl w:val="0"/>
          <w:numId w:val="102"/>
        </w:numPr>
        <w:tabs>
          <w:tab w:pos="977" w:val="left" w:leader="none"/>
        </w:tabs>
        <w:spacing w:line="276" w:lineRule="auto" w:before="0" w:after="0"/>
        <w:ind w:left="726" w:right="694" w:firstLine="0"/>
        <w:jc w:val="both"/>
        <w:rPr>
          <w:sz w:val="20"/>
        </w:rPr>
      </w:pPr>
      <w:r>
        <w:rPr>
          <w:sz w:val="20"/>
        </w:rPr>
        <w:t>Her üye devlet, denetim makamının 1, 2 ve 3. paragraflarda atıfta bulunulanlara ek yetkilere sahip olmasını kanunla sağlayabilir. Bu yetkilerin kullanımı Bölüm VII’nin etkili şekilde uygulanmasına zarar vermez.</w:t>
      </w:r>
    </w:p>
    <w:p>
      <w:pPr>
        <w:pStyle w:val="BodyText"/>
        <w:rPr>
          <w:sz w:val="22"/>
        </w:rPr>
      </w:pPr>
    </w:p>
    <w:p>
      <w:pPr>
        <w:pStyle w:val="BodyText"/>
        <w:spacing w:before="7"/>
        <w:rPr>
          <w:sz w:val="24"/>
        </w:rPr>
      </w:pPr>
    </w:p>
    <w:p>
      <w:pPr>
        <w:pStyle w:val="BodyText"/>
        <w:spacing w:line="276" w:lineRule="auto"/>
        <w:ind w:left="5035" w:right="5053"/>
        <w:jc w:val="center"/>
      </w:pPr>
      <w:r>
        <w:rPr/>
        <w:t>Madde 59</w:t>
      </w:r>
    </w:p>
    <w:p>
      <w:pPr>
        <w:pStyle w:val="BodyText"/>
        <w:rPr>
          <w:sz w:val="22"/>
        </w:rPr>
      </w:pPr>
    </w:p>
    <w:p>
      <w:pPr>
        <w:pStyle w:val="BodyText"/>
        <w:spacing w:before="10"/>
        <w:rPr>
          <w:sz w:val="23"/>
        </w:rPr>
      </w:pPr>
    </w:p>
    <w:p>
      <w:pPr>
        <w:pStyle w:val="Heading1"/>
        <w:spacing w:line="278" w:lineRule="auto"/>
        <w:ind w:left="4669" w:right="4689"/>
      </w:pPr>
      <w:r>
        <w:rPr/>
        <w:t>Faaliyet </w:t>
      </w:r>
      <w:r>
        <w:rPr>
          <w:w w:val="95"/>
        </w:rPr>
        <w:t>raporları</w:t>
      </w:r>
    </w:p>
    <w:p>
      <w:pPr>
        <w:pStyle w:val="BodyText"/>
        <w:rPr>
          <w:b/>
          <w:sz w:val="22"/>
        </w:rPr>
      </w:pPr>
    </w:p>
    <w:p>
      <w:pPr>
        <w:pStyle w:val="BodyText"/>
        <w:spacing w:before="5"/>
        <w:rPr>
          <w:b/>
          <w:sz w:val="24"/>
        </w:rPr>
      </w:pPr>
    </w:p>
    <w:p>
      <w:pPr>
        <w:pStyle w:val="BodyText"/>
        <w:spacing w:line="276" w:lineRule="auto" w:before="1"/>
        <w:ind w:left="726" w:right="693"/>
        <w:jc w:val="both"/>
      </w:pPr>
      <w:r>
        <w:rPr/>
        <w:t>Her denetim makamı faaliyetleriyle ilgili olarak 58(2) maddesi uyarınca bildirilen ihlal türleri ve alınan tedbir türlerine yönelik bir listeye yer verilebilecek bir yıllık rapor hazırlar. Bu raporlar ulusal parlamentoya, hükümete ve üye devlet hukuku çerçevesinde belirlenen diğer kuruluşlara iletilir. Raporlar kamuoyuna, Komisyon’a ve Kurul’a sağlanır.</w:t>
      </w:r>
    </w:p>
    <w:p>
      <w:pPr>
        <w:pStyle w:val="BodyText"/>
        <w:spacing w:before="2"/>
        <w:rPr>
          <w:sz w:val="26"/>
        </w:rPr>
      </w:pPr>
    </w:p>
    <w:p>
      <w:pPr>
        <w:pStyle w:val="BodyText"/>
        <w:ind w:left="2204" w:right="2227"/>
        <w:jc w:val="center"/>
      </w:pPr>
      <w:r>
        <w:rPr/>
        <w:t>BÖLÜM VII</w:t>
      </w:r>
    </w:p>
    <w:p>
      <w:pPr>
        <w:pStyle w:val="BodyText"/>
        <w:spacing w:before="8"/>
        <w:rPr>
          <w:sz w:val="25"/>
        </w:rPr>
      </w:pPr>
    </w:p>
    <w:p>
      <w:pPr>
        <w:pStyle w:val="Heading1"/>
        <w:ind w:left="2206"/>
      </w:pPr>
      <w:r>
        <w:rPr/>
        <w:t>İşbirliği ve tutarlılık</w:t>
      </w:r>
    </w:p>
    <w:p>
      <w:pPr>
        <w:pStyle w:val="BodyText"/>
        <w:spacing w:before="4"/>
        <w:rPr>
          <w:b/>
          <w:sz w:val="26"/>
        </w:rPr>
      </w:pPr>
    </w:p>
    <w:p>
      <w:pPr>
        <w:pStyle w:val="BodyText"/>
        <w:ind w:left="2207" w:right="2222"/>
        <w:jc w:val="center"/>
      </w:pPr>
      <w:r>
        <w:rPr/>
        <w:t>Kesim 1</w:t>
      </w:r>
    </w:p>
    <w:p>
      <w:pPr>
        <w:pStyle w:val="BodyText"/>
        <w:spacing w:before="10"/>
        <w:rPr>
          <w:sz w:val="25"/>
        </w:rPr>
      </w:pPr>
    </w:p>
    <w:p>
      <w:pPr>
        <w:pStyle w:val="Heading1"/>
        <w:ind w:right="2207"/>
      </w:pPr>
      <w:r>
        <w:rPr/>
        <w:t>İşbirliği</w:t>
      </w:r>
    </w:p>
    <w:p>
      <w:pPr>
        <w:pStyle w:val="BodyText"/>
        <w:rPr>
          <w:b/>
          <w:sz w:val="22"/>
        </w:rPr>
      </w:pPr>
    </w:p>
    <w:p>
      <w:pPr>
        <w:pStyle w:val="BodyText"/>
        <w:spacing w:before="8"/>
        <w:rPr>
          <w:b/>
          <w:sz w:val="27"/>
        </w:rPr>
      </w:pPr>
    </w:p>
    <w:p>
      <w:pPr>
        <w:pStyle w:val="BodyText"/>
        <w:spacing w:line="276" w:lineRule="auto"/>
        <w:ind w:left="5035" w:right="5053"/>
        <w:jc w:val="center"/>
      </w:pPr>
      <w:r>
        <w:rPr/>
        <w:t>Madde 60</w:t>
      </w:r>
    </w:p>
    <w:p>
      <w:pPr>
        <w:pStyle w:val="BodyText"/>
        <w:rPr>
          <w:sz w:val="22"/>
        </w:rPr>
      </w:pPr>
    </w:p>
    <w:p>
      <w:pPr>
        <w:pStyle w:val="BodyText"/>
        <w:spacing w:before="6"/>
        <w:rPr>
          <w:sz w:val="24"/>
        </w:rPr>
      </w:pPr>
    </w:p>
    <w:p>
      <w:pPr>
        <w:pStyle w:val="Heading1"/>
        <w:ind w:left="1272" w:right="1295"/>
      </w:pPr>
      <w:r>
        <w:rPr/>
        <w:t>Baş denetim makamı ve diğer ilgili denetim makamları arasında işbirliği</w:t>
      </w:r>
    </w:p>
    <w:p>
      <w:pPr>
        <w:pStyle w:val="BodyText"/>
        <w:rPr>
          <w:b/>
          <w:sz w:val="22"/>
        </w:rPr>
      </w:pPr>
    </w:p>
    <w:p>
      <w:pPr>
        <w:pStyle w:val="BodyText"/>
        <w:spacing w:before="3"/>
        <w:rPr>
          <w:b/>
          <w:sz w:val="27"/>
        </w:rPr>
      </w:pPr>
    </w:p>
    <w:p>
      <w:pPr>
        <w:pStyle w:val="ListParagraph"/>
        <w:numPr>
          <w:ilvl w:val="0"/>
          <w:numId w:val="109"/>
        </w:numPr>
        <w:tabs>
          <w:tab w:pos="982" w:val="left" w:leader="none"/>
        </w:tabs>
        <w:spacing w:line="276" w:lineRule="auto" w:before="1" w:after="0"/>
        <w:ind w:left="726" w:right="697" w:firstLine="0"/>
        <w:jc w:val="both"/>
        <w:rPr>
          <w:sz w:val="20"/>
        </w:rPr>
      </w:pPr>
      <w:r>
        <w:rPr>
          <w:sz w:val="20"/>
        </w:rPr>
        <w:t>Baş denetim makamı uzlaşıya varmak adına bu madde uyarınca diğer ilgili denetim makamları ile işbirliği yapar. Baş denetim makamı ve ilgili denetim makamları ilgili tüm bilgileri birbirleriyle</w:t>
      </w:r>
      <w:r>
        <w:rPr>
          <w:spacing w:val="-37"/>
          <w:sz w:val="20"/>
        </w:rPr>
        <w:t> </w:t>
      </w:r>
      <w:r>
        <w:rPr>
          <w:sz w:val="20"/>
        </w:rPr>
        <w:t>paylaşır.</w:t>
      </w:r>
    </w:p>
    <w:p>
      <w:pPr>
        <w:spacing w:after="0" w:line="276"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109"/>
        </w:numPr>
        <w:tabs>
          <w:tab w:pos="1140" w:val="left" w:leader="none"/>
        </w:tabs>
        <w:spacing w:line="276" w:lineRule="auto" w:before="66" w:after="0"/>
        <w:ind w:left="726" w:right="694" w:firstLine="0"/>
        <w:jc w:val="both"/>
        <w:rPr>
          <w:sz w:val="20"/>
        </w:rPr>
      </w:pPr>
      <w:r>
        <w:rPr>
          <w:sz w:val="20"/>
        </w:rPr>
        <w:t>Baş denetim makamı, özellikle soruşturmaların yürütülmesi açısından veya başka bir üye devlette kurulu bulunan bir kontrolör veya işleyiciye ilişkin bir tedbirin uygulanmasının izlenmesi açısından ilgili diğer denetim makamlarının 61. madde uyarınca karşılıklı yardım sağlamasını herhangi bir zamanda talep edebilir ve 62. madde uyarınca ortak çalışmalar</w:t>
      </w:r>
      <w:r>
        <w:rPr>
          <w:spacing w:val="-9"/>
          <w:sz w:val="20"/>
        </w:rPr>
        <w:t> </w:t>
      </w:r>
      <w:r>
        <w:rPr>
          <w:sz w:val="20"/>
        </w:rPr>
        <w:t>gerçekleştirebilir.</w:t>
      </w:r>
    </w:p>
    <w:p>
      <w:pPr>
        <w:pStyle w:val="BodyText"/>
        <w:spacing w:before="1"/>
        <w:rPr>
          <w:sz w:val="23"/>
        </w:rPr>
      </w:pPr>
    </w:p>
    <w:p>
      <w:pPr>
        <w:pStyle w:val="ListParagraph"/>
        <w:numPr>
          <w:ilvl w:val="0"/>
          <w:numId w:val="109"/>
        </w:numPr>
        <w:tabs>
          <w:tab w:pos="999" w:val="left" w:leader="none"/>
        </w:tabs>
        <w:spacing w:line="276" w:lineRule="auto" w:before="0" w:after="0"/>
        <w:ind w:left="726" w:right="688" w:firstLine="0"/>
        <w:jc w:val="both"/>
        <w:rPr>
          <w:sz w:val="20"/>
        </w:rPr>
      </w:pPr>
      <w:r>
        <w:rPr>
          <w:sz w:val="20"/>
        </w:rPr>
        <w:t>Baş denetim makamı konuyla ilgili bilgileri herhangi bir gecikmeye mahal vermeksizin diğer ilgili denetim makamlarına iletir. Baş denetim makamı bir taslak kararı herhangi bir gecikmeye mahal vermeksizin diğer ilgili denetim makamlarının görüşüne sunar ve onların görüşlerini dikkate</w:t>
      </w:r>
      <w:r>
        <w:rPr>
          <w:spacing w:val="-33"/>
          <w:sz w:val="20"/>
        </w:rPr>
        <w:t> </w:t>
      </w:r>
      <w:r>
        <w:rPr>
          <w:sz w:val="20"/>
        </w:rPr>
        <w:t>alır.</w:t>
      </w:r>
    </w:p>
    <w:p>
      <w:pPr>
        <w:pStyle w:val="BodyText"/>
        <w:rPr>
          <w:sz w:val="23"/>
        </w:rPr>
      </w:pPr>
    </w:p>
    <w:p>
      <w:pPr>
        <w:pStyle w:val="ListParagraph"/>
        <w:numPr>
          <w:ilvl w:val="0"/>
          <w:numId w:val="109"/>
        </w:numPr>
        <w:tabs>
          <w:tab w:pos="967" w:val="left" w:leader="none"/>
        </w:tabs>
        <w:spacing w:line="276" w:lineRule="auto" w:before="0" w:after="0"/>
        <w:ind w:left="726" w:right="689" w:firstLine="0"/>
        <w:jc w:val="both"/>
        <w:rPr>
          <w:sz w:val="20"/>
        </w:rPr>
      </w:pPr>
      <w:r>
        <w:rPr>
          <w:sz w:val="20"/>
        </w:rPr>
        <w:t>İlgili denetim makamlarından herhangi birinin bu maddenin 3. paragrafı uyarınca danışıldıktan sonra dört haftalık bir süre içerisinde taslak karara yönelik yerinde ve gerekçeli bir itirazda bulunduğu hallerde, baş denetim makamı, yerinde ve gerekçeli itiraza uygun hareket etmemesi veya itirazın yerinde veya gerekçeli olmadığını düşünmesi durumunda, konuyu 63. maddede atıfta bulunulan tutarlılık mekanizmasına tabi</w:t>
      </w:r>
      <w:r>
        <w:rPr>
          <w:spacing w:val="-4"/>
          <w:sz w:val="20"/>
        </w:rPr>
        <w:t> </w:t>
      </w:r>
      <w:r>
        <w:rPr>
          <w:sz w:val="20"/>
        </w:rPr>
        <w:t>tutar.</w:t>
      </w:r>
    </w:p>
    <w:p>
      <w:pPr>
        <w:pStyle w:val="BodyText"/>
        <w:rPr>
          <w:sz w:val="23"/>
        </w:rPr>
      </w:pPr>
    </w:p>
    <w:p>
      <w:pPr>
        <w:pStyle w:val="ListParagraph"/>
        <w:numPr>
          <w:ilvl w:val="0"/>
          <w:numId w:val="109"/>
        </w:numPr>
        <w:tabs>
          <w:tab w:pos="1013" w:val="left" w:leader="none"/>
        </w:tabs>
        <w:spacing w:line="276" w:lineRule="auto" w:before="0" w:after="0"/>
        <w:ind w:left="726" w:right="698" w:firstLine="0"/>
        <w:jc w:val="both"/>
        <w:rPr>
          <w:sz w:val="20"/>
        </w:rPr>
      </w:pPr>
      <w:r>
        <w:rPr>
          <w:sz w:val="20"/>
        </w:rPr>
        <w:t>Baş denetim makamının yapılan yerinde ve gerekçeli itiraza uygun hareket etmeyi amaçladığı hallerde, baş denetim makamı revize edilmiş bir taslak kararı diğer ilgili denetim makamlarının görüşüne sunar. Revize edilmiş bu taslak karar iki haftalık bir süre içerisinde 4. paragrafta atıfta bulunulan usule tabi olur.</w:t>
      </w:r>
    </w:p>
    <w:p>
      <w:pPr>
        <w:pStyle w:val="BodyText"/>
        <w:rPr>
          <w:sz w:val="22"/>
        </w:rPr>
      </w:pPr>
    </w:p>
    <w:p>
      <w:pPr>
        <w:pStyle w:val="BodyText"/>
        <w:spacing w:before="4"/>
        <w:rPr>
          <w:sz w:val="24"/>
        </w:rPr>
      </w:pPr>
    </w:p>
    <w:p>
      <w:pPr>
        <w:pStyle w:val="ListParagraph"/>
        <w:numPr>
          <w:ilvl w:val="0"/>
          <w:numId w:val="109"/>
        </w:numPr>
        <w:tabs>
          <w:tab w:pos="970" w:val="left" w:leader="none"/>
        </w:tabs>
        <w:spacing w:line="276" w:lineRule="auto" w:before="1" w:after="0"/>
        <w:ind w:left="726" w:right="692" w:firstLine="0"/>
        <w:jc w:val="both"/>
        <w:rPr>
          <w:sz w:val="20"/>
        </w:rPr>
      </w:pPr>
      <w:r>
        <w:rPr>
          <w:sz w:val="20"/>
        </w:rPr>
        <w:t>Diğer ilgili denetim makamlarının hiçbirinin baş denetim makamı tarafından sunulan taslak kararın 4 ve 5. paragraflarda atıfta bulunulan süre içerisinde itiraz etmediği hallerde, baş denetim makamı ve ilgili denetim makamlarının bu taslak karar ile ilgili mutabakata vardığı değerlendirilir ve bu makamlar söz konusu karara riayet</w:t>
      </w:r>
      <w:r>
        <w:rPr>
          <w:spacing w:val="-2"/>
          <w:sz w:val="20"/>
        </w:rPr>
        <w:t> </w:t>
      </w:r>
      <w:r>
        <w:rPr>
          <w:sz w:val="20"/>
        </w:rPr>
        <w:t>eder.</w:t>
      </w:r>
    </w:p>
    <w:p>
      <w:pPr>
        <w:pStyle w:val="BodyText"/>
        <w:rPr>
          <w:sz w:val="22"/>
        </w:rPr>
      </w:pPr>
    </w:p>
    <w:p>
      <w:pPr>
        <w:pStyle w:val="BodyText"/>
        <w:spacing w:before="4"/>
        <w:rPr>
          <w:sz w:val="24"/>
        </w:rPr>
      </w:pPr>
    </w:p>
    <w:p>
      <w:pPr>
        <w:pStyle w:val="ListParagraph"/>
        <w:numPr>
          <w:ilvl w:val="0"/>
          <w:numId w:val="109"/>
        </w:numPr>
        <w:tabs>
          <w:tab w:pos="977" w:val="left" w:leader="none"/>
        </w:tabs>
        <w:spacing w:line="276" w:lineRule="auto" w:before="0" w:after="0"/>
        <w:ind w:left="726" w:right="699" w:firstLine="0"/>
        <w:jc w:val="both"/>
        <w:rPr>
          <w:sz w:val="20"/>
        </w:rPr>
      </w:pPr>
      <w:r>
        <w:rPr>
          <w:sz w:val="20"/>
        </w:rPr>
        <w:t>Baş denetim makamı kararı kabul eder ve, uygun olduğu hallerde, kontrolörün veya işleyicinin ana işletmesine veya tek işletmesine bildirir ve diğer ilgili denetim makamları ve Kurul’u ilgili olgular ile gerekçelere yönelik bir özet de dahil olmak üzere söz konusu karar konusunda bilgilendirir. Bir şikayetin yapıldığı denetim makamı şikayet sahibini karardan haberdar</w:t>
      </w:r>
      <w:r>
        <w:rPr>
          <w:spacing w:val="-7"/>
          <w:sz w:val="20"/>
        </w:rPr>
        <w:t> </w:t>
      </w:r>
      <w:r>
        <w:rPr>
          <w:sz w:val="20"/>
        </w:rPr>
        <w:t>eder.</w:t>
      </w:r>
    </w:p>
    <w:p>
      <w:pPr>
        <w:pStyle w:val="BodyText"/>
        <w:rPr>
          <w:sz w:val="22"/>
        </w:rPr>
      </w:pPr>
    </w:p>
    <w:p>
      <w:pPr>
        <w:pStyle w:val="BodyText"/>
        <w:spacing w:before="5"/>
        <w:rPr>
          <w:sz w:val="24"/>
        </w:rPr>
      </w:pPr>
    </w:p>
    <w:p>
      <w:pPr>
        <w:pStyle w:val="ListParagraph"/>
        <w:numPr>
          <w:ilvl w:val="0"/>
          <w:numId w:val="109"/>
        </w:numPr>
        <w:tabs>
          <w:tab w:pos="1140" w:val="left" w:leader="none"/>
        </w:tabs>
        <w:spacing w:line="276" w:lineRule="auto" w:before="0" w:after="0"/>
        <w:ind w:left="726" w:right="691" w:firstLine="0"/>
        <w:jc w:val="both"/>
        <w:rPr>
          <w:sz w:val="20"/>
        </w:rPr>
      </w:pPr>
      <w:r>
        <w:rPr>
          <w:sz w:val="20"/>
        </w:rPr>
        <w:t>7. paragraftan istisna edilerek, bir şikayetin geri çevrildiği veya reddedildiği hallerde, şikayetin yapıldığı denetim makamı kararı kabul edip şikayet sahibine bildirir ve kontrolörü karar konusunda bilgilendirir.</w:t>
      </w:r>
    </w:p>
    <w:p>
      <w:pPr>
        <w:pStyle w:val="BodyText"/>
        <w:rPr>
          <w:sz w:val="22"/>
        </w:rPr>
      </w:pPr>
    </w:p>
    <w:p>
      <w:pPr>
        <w:pStyle w:val="BodyText"/>
        <w:spacing w:before="5"/>
        <w:rPr>
          <w:sz w:val="24"/>
        </w:rPr>
      </w:pPr>
    </w:p>
    <w:p>
      <w:pPr>
        <w:pStyle w:val="ListParagraph"/>
        <w:numPr>
          <w:ilvl w:val="0"/>
          <w:numId w:val="109"/>
        </w:numPr>
        <w:tabs>
          <w:tab w:pos="970" w:val="left" w:leader="none"/>
        </w:tabs>
        <w:spacing w:line="276" w:lineRule="auto" w:before="0" w:after="0"/>
        <w:ind w:left="726" w:right="692" w:firstLine="0"/>
        <w:jc w:val="both"/>
        <w:rPr>
          <w:sz w:val="20"/>
        </w:rPr>
      </w:pPr>
      <w:r>
        <w:rPr>
          <w:sz w:val="20"/>
        </w:rPr>
        <w:t>Baş denetim makamı ve diğer ilgili denetim makamlarının bir şikayetin belirli kısımlarını kısmen geri çevirme veya reddetme ve söz konusu şikayetin diğer kısımları ile ilgili işlem yapma konusunda mutabık kaldığı hallerde, konunun bu bölümlerinin her birine yönelik ayrı bir karar kabul edilir. Baş denetim makamı kontrolör ile ilgili eylemlere yönelik kısma ilişkin kararı kabul eder, kontrolör veya işleyicinin üye devletinin topraklarındaki ana işletmesi veya tek işletmesine bildirir ve şikayet sahibini bu karardan haberdar ederken, şikayet sahibinin denetim makamı bu şikayetin geri çevrilmesi veya reddedilmesine ilişkin kısma yönelik kararı kabul eder ve kararı söz konusu şikayet sahibine bildirir ve kontrolör veya işleyiciyi bu karardan haberdar</w:t>
      </w:r>
      <w:r>
        <w:rPr>
          <w:spacing w:val="-1"/>
          <w:sz w:val="20"/>
        </w:rPr>
        <w:t> </w:t>
      </w:r>
      <w:r>
        <w:rPr>
          <w:sz w:val="20"/>
        </w:rPr>
        <w:t>eder.</w:t>
      </w:r>
    </w:p>
    <w:p>
      <w:pPr>
        <w:pStyle w:val="BodyText"/>
        <w:rPr>
          <w:sz w:val="22"/>
        </w:rPr>
      </w:pPr>
    </w:p>
    <w:p>
      <w:pPr>
        <w:pStyle w:val="BodyText"/>
        <w:spacing w:before="5"/>
        <w:rPr>
          <w:sz w:val="24"/>
        </w:rPr>
      </w:pPr>
    </w:p>
    <w:p>
      <w:pPr>
        <w:pStyle w:val="ListParagraph"/>
        <w:numPr>
          <w:ilvl w:val="0"/>
          <w:numId w:val="109"/>
        </w:numPr>
        <w:tabs>
          <w:tab w:pos="1111" w:val="left" w:leader="none"/>
        </w:tabs>
        <w:spacing w:line="276" w:lineRule="auto" w:before="0" w:after="0"/>
        <w:ind w:left="726" w:right="695" w:firstLine="0"/>
        <w:jc w:val="both"/>
        <w:rPr>
          <w:sz w:val="20"/>
        </w:rPr>
      </w:pPr>
      <w:r>
        <w:rPr>
          <w:sz w:val="20"/>
        </w:rPr>
        <w:t>Kontrolör veya işleyici, 7 ve 9. paragraflar uyarınca baş denetim makamının kararı hususunda bildirim yapılmasının ardından, Birlik içerisindeki tüm işletmeleri bağlamındaki işleme faaliyetleri ile ilgili olarak karara uyumluluk sağlanması için gereken tedbirleri alır. Kontrolör veya işleyici karara uyumluluk sağlanması amacıyla alınan tedbirleri, diğer ilgili denetim makamlarını bilgilendirecek baş denetim makamına</w:t>
      </w:r>
      <w:r>
        <w:rPr>
          <w:spacing w:val="-2"/>
          <w:sz w:val="20"/>
        </w:rPr>
        <w:t> </w:t>
      </w:r>
      <w:r>
        <w:rPr>
          <w:sz w:val="20"/>
        </w:rPr>
        <w:t>bildirir.</w:t>
      </w:r>
    </w:p>
    <w:p>
      <w:pPr>
        <w:pStyle w:val="BodyText"/>
        <w:spacing w:before="4"/>
        <w:rPr>
          <w:sz w:val="27"/>
        </w:rPr>
      </w:pPr>
    </w:p>
    <w:p>
      <w:pPr>
        <w:pStyle w:val="ListParagraph"/>
        <w:numPr>
          <w:ilvl w:val="0"/>
          <w:numId w:val="109"/>
        </w:numPr>
        <w:tabs>
          <w:tab w:pos="1073" w:val="left" w:leader="none"/>
        </w:tabs>
        <w:spacing w:line="276" w:lineRule="auto" w:before="0" w:after="0"/>
        <w:ind w:left="726" w:right="701" w:firstLine="0"/>
        <w:jc w:val="both"/>
        <w:rPr>
          <w:sz w:val="20"/>
        </w:rPr>
      </w:pPr>
      <w:r>
        <w:rPr>
          <w:sz w:val="20"/>
        </w:rPr>
        <w:t>İstisnai durumlarda ilgili bir denetim makamının veri sahiplerinin menfaatlerinin korunması amacı ile acil bir şekilde harekete geçilmesi yönünde bir ihtiyacın bulunduğunu düşünmeye sevk edecek sebeplerinin bulunduğu hallerde, 66. maddede atıfta bulunulan aciliyet usulü</w:t>
      </w:r>
      <w:r>
        <w:rPr>
          <w:spacing w:val="-15"/>
          <w:sz w:val="20"/>
        </w:rPr>
        <w:t> </w:t>
      </w:r>
      <w:r>
        <w:rPr>
          <w:sz w:val="20"/>
        </w:rPr>
        <w:t>uygulanır.</w:t>
      </w:r>
    </w:p>
    <w:p>
      <w:pPr>
        <w:spacing w:after="0" w:line="276"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109"/>
        </w:numPr>
        <w:tabs>
          <w:tab w:pos="1107" w:val="left" w:leader="none"/>
        </w:tabs>
        <w:spacing w:line="276" w:lineRule="auto" w:before="66" w:after="0"/>
        <w:ind w:left="726" w:right="701" w:firstLine="0"/>
        <w:jc w:val="both"/>
        <w:rPr>
          <w:sz w:val="20"/>
        </w:rPr>
      </w:pPr>
      <w:r>
        <w:rPr>
          <w:sz w:val="20"/>
        </w:rPr>
        <w:t>Baş denetim makamı ve diğer ilgili denetim makamları bu madde kapsamında gereken bilgileri standart bir format kullanarak elektronik yollarla birbirlerine</w:t>
      </w:r>
      <w:r>
        <w:rPr>
          <w:spacing w:val="-1"/>
          <w:sz w:val="20"/>
        </w:rPr>
        <w:t> </w:t>
      </w:r>
      <w:r>
        <w:rPr>
          <w:sz w:val="20"/>
        </w:rPr>
        <w:t>sağlar.</w:t>
      </w:r>
    </w:p>
    <w:p>
      <w:pPr>
        <w:pStyle w:val="BodyText"/>
        <w:spacing w:before="1"/>
        <w:rPr>
          <w:sz w:val="23"/>
        </w:rPr>
      </w:pPr>
    </w:p>
    <w:p>
      <w:pPr>
        <w:pStyle w:val="BodyText"/>
        <w:spacing w:line="276" w:lineRule="auto" w:before="1"/>
        <w:ind w:left="5035" w:right="5053"/>
        <w:jc w:val="center"/>
      </w:pPr>
      <w:r>
        <w:rPr/>
        <w:t>Madde 61</w:t>
      </w:r>
    </w:p>
    <w:p>
      <w:pPr>
        <w:pStyle w:val="BodyText"/>
        <w:spacing w:before="5"/>
        <w:rPr>
          <w:sz w:val="23"/>
        </w:rPr>
      </w:pPr>
    </w:p>
    <w:p>
      <w:pPr>
        <w:pStyle w:val="Heading1"/>
        <w:spacing w:line="276" w:lineRule="auto"/>
        <w:ind w:left="4669" w:right="4686"/>
      </w:pPr>
      <w:r>
        <w:rPr>
          <w:w w:val="95"/>
        </w:rPr>
        <w:t>Karşılıklı </w:t>
      </w:r>
      <w:r>
        <w:rPr/>
        <w:t>yardım</w:t>
      </w:r>
    </w:p>
    <w:p>
      <w:pPr>
        <w:pStyle w:val="BodyText"/>
        <w:rPr>
          <w:b/>
          <w:sz w:val="22"/>
        </w:rPr>
      </w:pPr>
    </w:p>
    <w:p>
      <w:pPr>
        <w:pStyle w:val="BodyText"/>
        <w:spacing w:before="6"/>
        <w:rPr>
          <w:b/>
          <w:sz w:val="24"/>
        </w:rPr>
      </w:pPr>
    </w:p>
    <w:p>
      <w:pPr>
        <w:pStyle w:val="ListParagraph"/>
        <w:numPr>
          <w:ilvl w:val="0"/>
          <w:numId w:val="110"/>
        </w:numPr>
        <w:tabs>
          <w:tab w:pos="972" w:val="left" w:leader="none"/>
        </w:tabs>
        <w:spacing w:line="276" w:lineRule="auto" w:before="0" w:after="0"/>
        <w:ind w:left="726" w:right="689" w:firstLine="0"/>
        <w:jc w:val="both"/>
        <w:rPr>
          <w:sz w:val="20"/>
        </w:rPr>
      </w:pPr>
      <w:r>
        <w:rPr>
          <w:sz w:val="20"/>
        </w:rPr>
        <w:t>Denetim makamları bu Tüzük’ün tutarlı bir şekilde yürütülmesi ve uygulanması amacıyla birbirlerine ilgili bilgileri ve karşılıklı desteği sağlar ve birbirleriyle etkili işbirliğine yönelik tedbirleri uygulamaya koyar. Karşılıklı yardım, özellikle, ön onaylar ve istişarelerin, denetimlerin ve soruşturmaların yürütülmesine ilişkin talepler gibi bilgi talepleri ve denetim tedbirlerini</w:t>
      </w:r>
      <w:r>
        <w:rPr>
          <w:spacing w:val="-4"/>
          <w:sz w:val="20"/>
        </w:rPr>
        <w:t> </w:t>
      </w:r>
      <w:r>
        <w:rPr>
          <w:sz w:val="20"/>
        </w:rPr>
        <w:t>kapsar.</w:t>
      </w:r>
    </w:p>
    <w:p>
      <w:pPr>
        <w:pStyle w:val="BodyText"/>
        <w:spacing w:before="5"/>
        <w:rPr>
          <w:sz w:val="24"/>
        </w:rPr>
      </w:pPr>
    </w:p>
    <w:p>
      <w:pPr>
        <w:pStyle w:val="ListParagraph"/>
        <w:numPr>
          <w:ilvl w:val="0"/>
          <w:numId w:val="110"/>
        </w:numPr>
        <w:tabs>
          <w:tab w:pos="1035" w:val="left" w:leader="none"/>
        </w:tabs>
        <w:spacing w:line="276" w:lineRule="auto" w:before="1" w:after="0"/>
        <w:ind w:left="726" w:right="689" w:firstLine="0"/>
        <w:jc w:val="both"/>
        <w:rPr>
          <w:sz w:val="20"/>
        </w:rPr>
      </w:pPr>
      <w:r>
        <w:rPr>
          <w:sz w:val="20"/>
        </w:rPr>
        <w:t>Her denetim makamı başka bir denetim makamının talebine herhangi bir gecikmeye mahal verilmeksizin ve talebi aldıktan sonra en geç bir ay içerisinde yanıt verilmesi için gereken tüm uygun tedbirleri alır. Böylesi tedbirler arasında, özellikle, bir soruşturmanın yürütülmesi ile ilgili bilgilerin  iletilmesi</w:t>
      </w:r>
      <w:r>
        <w:rPr>
          <w:spacing w:val="-3"/>
          <w:sz w:val="20"/>
        </w:rPr>
        <w:t> </w:t>
      </w:r>
      <w:r>
        <w:rPr>
          <w:sz w:val="20"/>
        </w:rPr>
        <w:t>bulunabilir.</w:t>
      </w:r>
    </w:p>
    <w:p>
      <w:pPr>
        <w:pStyle w:val="BodyText"/>
        <w:spacing w:before="5"/>
        <w:rPr>
          <w:sz w:val="24"/>
        </w:rPr>
      </w:pPr>
    </w:p>
    <w:p>
      <w:pPr>
        <w:pStyle w:val="ListParagraph"/>
        <w:numPr>
          <w:ilvl w:val="0"/>
          <w:numId w:val="110"/>
        </w:numPr>
        <w:tabs>
          <w:tab w:pos="975" w:val="left" w:leader="none"/>
        </w:tabs>
        <w:spacing w:line="276" w:lineRule="auto" w:before="0" w:after="0"/>
        <w:ind w:left="726" w:right="698" w:firstLine="0"/>
        <w:jc w:val="both"/>
        <w:rPr>
          <w:sz w:val="20"/>
        </w:rPr>
      </w:pPr>
      <w:r>
        <w:rPr>
          <w:sz w:val="20"/>
        </w:rPr>
        <w:t>Yardım taleplerinde talebin amacı ve sebepleri de dahil olmak üzere gerekli tüm bilgilere yer verilir. Paylaşılan bilgiler yalnızca talep edilen amaç doğrultusunda</w:t>
      </w:r>
      <w:r>
        <w:rPr>
          <w:spacing w:val="-2"/>
          <w:sz w:val="20"/>
        </w:rPr>
        <w:t> </w:t>
      </w:r>
      <w:r>
        <w:rPr>
          <w:sz w:val="20"/>
        </w:rPr>
        <w:t>kullanılır.</w:t>
      </w:r>
    </w:p>
    <w:p>
      <w:pPr>
        <w:pStyle w:val="BodyText"/>
        <w:spacing w:before="1"/>
        <w:rPr>
          <w:sz w:val="23"/>
        </w:rPr>
      </w:pPr>
    </w:p>
    <w:p>
      <w:pPr>
        <w:pStyle w:val="ListParagraph"/>
        <w:numPr>
          <w:ilvl w:val="0"/>
          <w:numId w:val="110"/>
        </w:numPr>
        <w:tabs>
          <w:tab w:pos="948" w:val="left" w:leader="none"/>
        </w:tabs>
        <w:spacing w:line="240" w:lineRule="auto" w:before="0" w:after="0"/>
        <w:ind w:left="947" w:right="0" w:hanging="221"/>
        <w:jc w:val="both"/>
        <w:rPr>
          <w:sz w:val="20"/>
        </w:rPr>
      </w:pPr>
      <w:r>
        <w:rPr>
          <w:sz w:val="20"/>
        </w:rPr>
        <w:t>Talebin iletildiği denetim makamı, aşağıdaki haller dışında, talebi yerine getirmeyi</w:t>
      </w:r>
      <w:r>
        <w:rPr>
          <w:spacing w:val="-11"/>
          <w:sz w:val="20"/>
        </w:rPr>
        <w:t> </w:t>
      </w:r>
      <w:r>
        <w:rPr>
          <w:sz w:val="20"/>
        </w:rPr>
        <w:t>reddedemez:</w:t>
      </w:r>
    </w:p>
    <w:p>
      <w:pPr>
        <w:pStyle w:val="ListParagraph"/>
        <w:numPr>
          <w:ilvl w:val="0"/>
          <w:numId w:val="111"/>
        </w:numPr>
        <w:tabs>
          <w:tab w:pos="1027" w:val="left" w:leader="none"/>
        </w:tabs>
        <w:spacing w:line="240" w:lineRule="auto" w:before="75" w:after="0"/>
        <w:ind w:left="808" w:right="0" w:hanging="82"/>
        <w:jc w:val="both"/>
        <w:rPr>
          <w:sz w:val="20"/>
        </w:rPr>
      </w:pPr>
      <w:r>
        <w:rPr>
          <w:sz w:val="20"/>
        </w:rPr>
        <w:t>talebin konusu açısından veya uygulamasının talep edildiği tedbirler açısından yetkin olmaması</w:t>
      </w:r>
      <w:r>
        <w:rPr>
          <w:spacing w:val="-27"/>
          <w:sz w:val="20"/>
        </w:rPr>
        <w:t> </w:t>
      </w:r>
      <w:r>
        <w:rPr>
          <w:sz w:val="20"/>
        </w:rPr>
        <w:t>veya</w:t>
      </w:r>
    </w:p>
    <w:p>
      <w:pPr>
        <w:pStyle w:val="BodyText"/>
        <w:spacing w:before="1"/>
        <w:rPr>
          <w:sz w:val="26"/>
        </w:rPr>
      </w:pPr>
    </w:p>
    <w:p>
      <w:pPr>
        <w:pStyle w:val="ListParagraph"/>
        <w:numPr>
          <w:ilvl w:val="0"/>
          <w:numId w:val="111"/>
        </w:numPr>
        <w:tabs>
          <w:tab w:pos="1027" w:val="left" w:leader="none"/>
        </w:tabs>
        <w:spacing w:line="276" w:lineRule="auto" w:before="1" w:after="0"/>
        <w:ind w:left="808" w:right="685" w:hanging="82"/>
        <w:jc w:val="both"/>
        <w:rPr>
          <w:sz w:val="20"/>
        </w:rPr>
      </w:pPr>
      <w:r>
        <w:rPr>
          <w:sz w:val="20"/>
        </w:rPr>
        <w:t>talebe uygun hareket etmenin bu Tüzük’ü veya talebi alan denetim makamının tabi olduğu Birlik ya da üye devlet hukukunu ihlal edecek</w:t>
      </w:r>
      <w:r>
        <w:rPr>
          <w:spacing w:val="-3"/>
          <w:sz w:val="20"/>
        </w:rPr>
        <w:t> </w:t>
      </w:r>
      <w:r>
        <w:rPr>
          <w:sz w:val="20"/>
        </w:rPr>
        <w:t>olması.</w:t>
      </w:r>
    </w:p>
    <w:p>
      <w:pPr>
        <w:pStyle w:val="BodyText"/>
        <w:spacing w:before="5"/>
        <w:rPr>
          <w:sz w:val="23"/>
        </w:rPr>
      </w:pPr>
    </w:p>
    <w:p>
      <w:pPr>
        <w:pStyle w:val="ListParagraph"/>
        <w:numPr>
          <w:ilvl w:val="0"/>
          <w:numId w:val="110"/>
        </w:numPr>
        <w:tabs>
          <w:tab w:pos="967" w:val="left" w:leader="none"/>
        </w:tabs>
        <w:spacing w:line="276" w:lineRule="auto" w:before="0" w:after="0"/>
        <w:ind w:left="726" w:right="691" w:firstLine="0"/>
        <w:jc w:val="both"/>
        <w:rPr>
          <w:sz w:val="20"/>
        </w:rPr>
      </w:pPr>
      <w:r>
        <w:rPr>
          <w:sz w:val="20"/>
        </w:rPr>
        <w:t>Talebin iletildiği denetim makamı talepte bulunan denetim makamını talebe yanıt verilmesi amacı ile alınan tedbirlerin sonuçları veya, uygun olduğu hallerde, seyri konusunda bilgilendirir. Talebin iletildiği denetim</w:t>
      </w:r>
      <w:r>
        <w:rPr>
          <w:spacing w:val="-3"/>
          <w:sz w:val="20"/>
        </w:rPr>
        <w:t> </w:t>
      </w:r>
      <w:r>
        <w:rPr>
          <w:sz w:val="20"/>
        </w:rPr>
        <w:t>makamı,</w:t>
      </w:r>
      <w:r>
        <w:rPr>
          <w:spacing w:val="-4"/>
          <w:sz w:val="20"/>
        </w:rPr>
        <w:t> </w:t>
      </w:r>
      <w:r>
        <w:rPr>
          <w:sz w:val="20"/>
        </w:rPr>
        <w:t>4.</w:t>
      </w:r>
      <w:r>
        <w:rPr>
          <w:spacing w:val="-6"/>
          <w:sz w:val="20"/>
        </w:rPr>
        <w:t> </w:t>
      </w:r>
      <w:r>
        <w:rPr>
          <w:sz w:val="20"/>
        </w:rPr>
        <w:t>paragraf</w:t>
      </w:r>
      <w:r>
        <w:rPr>
          <w:spacing w:val="-3"/>
          <w:sz w:val="20"/>
        </w:rPr>
        <w:t> </w:t>
      </w:r>
      <w:r>
        <w:rPr>
          <w:sz w:val="20"/>
        </w:rPr>
        <w:t>uyarınca</w:t>
      </w:r>
      <w:r>
        <w:rPr>
          <w:spacing w:val="-3"/>
          <w:sz w:val="20"/>
        </w:rPr>
        <w:t> </w:t>
      </w:r>
      <w:r>
        <w:rPr>
          <w:sz w:val="20"/>
        </w:rPr>
        <w:t>bir</w:t>
      </w:r>
      <w:r>
        <w:rPr>
          <w:spacing w:val="-4"/>
          <w:sz w:val="20"/>
        </w:rPr>
        <w:t> </w:t>
      </w:r>
      <w:r>
        <w:rPr>
          <w:sz w:val="20"/>
        </w:rPr>
        <w:t>talebi</w:t>
      </w:r>
      <w:r>
        <w:rPr>
          <w:spacing w:val="-2"/>
          <w:sz w:val="20"/>
        </w:rPr>
        <w:t> </w:t>
      </w:r>
      <w:r>
        <w:rPr>
          <w:sz w:val="20"/>
        </w:rPr>
        <w:t>yerine</w:t>
      </w:r>
      <w:r>
        <w:rPr>
          <w:spacing w:val="-3"/>
          <w:sz w:val="20"/>
        </w:rPr>
        <w:t> </w:t>
      </w:r>
      <w:r>
        <w:rPr>
          <w:sz w:val="20"/>
        </w:rPr>
        <w:t>getirmeyi</w:t>
      </w:r>
      <w:r>
        <w:rPr>
          <w:spacing w:val="-6"/>
          <w:sz w:val="20"/>
        </w:rPr>
        <w:t> </w:t>
      </w:r>
      <w:r>
        <w:rPr>
          <w:sz w:val="20"/>
        </w:rPr>
        <w:t>reddetmesine</w:t>
      </w:r>
      <w:r>
        <w:rPr>
          <w:spacing w:val="-6"/>
          <w:sz w:val="20"/>
        </w:rPr>
        <w:t> </w:t>
      </w:r>
      <w:r>
        <w:rPr>
          <w:sz w:val="20"/>
        </w:rPr>
        <w:t>ilişkin</w:t>
      </w:r>
      <w:r>
        <w:rPr>
          <w:spacing w:val="-5"/>
          <w:sz w:val="20"/>
        </w:rPr>
        <w:t> </w:t>
      </w:r>
      <w:r>
        <w:rPr>
          <w:sz w:val="20"/>
        </w:rPr>
        <w:t>sebepleri</w:t>
      </w:r>
      <w:r>
        <w:rPr>
          <w:spacing w:val="-5"/>
          <w:sz w:val="20"/>
        </w:rPr>
        <w:t> </w:t>
      </w:r>
      <w:r>
        <w:rPr>
          <w:sz w:val="20"/>
        </w:rPr>
        <w:t>sağlar.</w:t>
      </w:r>
    </w:p>
    <w:p>
      <w:pPr>
        <w:pStyle w:val="BodyText"/>
        <w:spacing w:before="6"/>
        <w:rPr>
          <w:sz w:val="24"/>
        </w:rPr>
      </w:pPr>
    </w:p>
    <w:p>
      <w:pPr>
        <w:pStyle w:val="ListParagraph"/>
        <w:numPr>
          <w:ilvl w:val="0"/>
          <w:numId w:val="110"/>
        </w:numPr>
        <w:tabs>
          <w:tab w:pos="987" w:val="left" w:leader="none"/>
        </w:tabs>
        <w:spacing w:line="276" w:lineRule="auto" w:before="0" w:after="0"/>
        <w:ind w:left="726" w:right="701" w:firstLine="0"/>
        <w:jc w:val="both"/>
        <w:rPr>
          <w:sz w:val="20"/>
        </w:rPr>
      </w:pPr>
      <w:r>
        <w:rPr>
          <w:sz w:val="20"/>
        </w:rPr>
        <w:t>Talebin iletildiği denetim makamları, kural olarak, diğer denetim makamları tarafından talep edilen bilgileri standart bir format kullanarak elektronik yollarla</w:t>
      </w:r>
      <w:r>
        <w:rPr>
          <w:spacing w:val="7"/>
          <w:sz w:val="20"/>
        </w:rPr>
        <w:t> </w:t>
      </w:r>
      <w:r>
        <w:rPr>
          <w:sz w:val="20"/>
        </w:rPr>
        <w:t>sağlar.</w:t>
      </w:r>
    </w:p>
    <w:p>
      <w:pPr>
        <w:pStyle w:val="BodyText"/>
        <w:spacing w:before="7"/>
        <w:rPr>
          <w:sz w:val="24"/>
        </w:rPr>
      </w:pPr>
    </w:p>
    <w:p>
      <w:pPr>
        <w:pStyle w:val="ListParagraph"/>
        <w:numPr>
          <w:ilvl w:val="0"/>
          <w:numId w:val="110"/>
        </w:numPr>
        <w:tabs>
          <w:tab w:pos="1047" w:val="left" w:leader="none"/>
        </w:tabs>
        <w:spacing w:line="276" w:lineRule="auto" w:before="0" w:after="0"/>
        <w:ind w:left="726" w:right="699" w:firstLine="0"/>
        <w:jc w:val="both"/>
        <w:rPr>
          <w:sz w:val="20"/>
        </w:rPr>
      </w:pPr>
      <w:r>
        <w:rPr>
          <w:sz w:val="20"/>
        </w:rPr>
        <w:t>Talebin iletildiği denetim makamları bir karşılıklı yardım talebi uyarınca kendileri tarafından gerçekleştirilen herhangi bir işleme yönelik olarak hiçbir ücret talep edemez. Denetim makamları, istisnai durumlarda karşılıklı yardım sağlanmasından kaynaklanan spesifik harcamalar ile ilgili olarak birbirlerinin tazmin edilmesine ilişkin kurallar üzerinde mutabakata</w:t>
      </w:r>
      <w:r>
        <w:rPr>
          <w:spacing w:val="-6"/>
          <w:sz w:val="20"/>
        </w:rPr>
        <w:t> </w:t>
      </w:r>
      <w:r>
        <w:rPr>
          <w:sz w:val="20"/>
        </w:rPr>
        <w:t>varabilir.</w:t>
      </w:r>
    </w:p>
    <w:p>
      <w:pPr>
        <w:pStyle w:val="BodyText"/>
        <w:spacing w:before="5"/>
        <w:rPr>
          <w:sz w:val="24"/>
        </w:rPr>
      </w:pPr>
    </w:p>
    <w:p>
      <w:pPr>
        <w:pStyle w:val="ListParagraph"/>
        <w:numPr>
          <w:ilvl w:val="0"/>
          <w:numId w:val="110"/>
        </w:numPr>
        <w:tabs>
          <w:tab w:pos="999" w:val="left" w:leader="none"/>
        </w:tabs>
        <w:spacing w:line="276" w:lineRule="auto" w:before="0" w:after="0"/>
        <w:ind w:left="726" w:right="693" w:firstLine="0"/>
        <w:jc w:val="both"/>
        <w:rPr>
          <w:sz w:val="20"/>
        </w:rPr>
      </w:pPr>
      <w:r>
        <w:rPr>
          <w:sz w:val="20"/>
        </w:rPr>
        <w:t>Bir denetim makamının bu maddenin 5. paragrafında atıfta bulunulan bilgileri başka bir denetim makamının talebini aldıktan itibaren bir ay içerisinde sağlamadığı hallerde, talepte bulunan denetim makamı 55(1) maddesi uyarınca üye devletinin topraklarında geçici bir tedbir kabul edebilir. Bu durumda, 66(1) maddesi kapsamındaki acil bir şekilde harekete geçme ihtiyacının yerine getirildiği varsayılır ve 66(2) maddesi uyarınca Kurul’dan acil bir bağlayıcı kararın çıkarılması</w:t>
      </w:r>
      <w:r>
        <w:rPr>
          <w:spacing w:val="-14"/>
          <w:sz w:val="20"/>
        </w:rPr>
        <w:t> </w:t>
      </w:r>
      <w:r>
        <w:rPr>
          <w:sz w:val="20"/>
        </w:rPr>
        <w:t>gerekir.</w:t>
      </w:r>
    </w:p>
    <w:p>
      <w:pPr>
        <w:pStyle w:val="BodyText"/>
        <w:spacing w:before="5"/>
        <w:rPr>
          <w:sz w:val="24"/>
        </w:rPr>
      </w:pPr>
    </w:p>
    <w:p>
      <w:pPr>
        <w:pStyle w:val="ListParagraph"/>
        <w:numPr>
          <w:ilvl w:val="0"/>
          <w:numId w:val="110"/>
        </w:numPr>
        <w:tabs>
          <w:tab w:pos="1003" w:val="left" w:leader="none"/>
        </w:tabs>
        <w:spacing w:line="276" w:lineRule="auto" w:before="0" w:after="0"/>
        <w:ind w:left="726" w:right="690" w:firstLine="0"/>
        <w:jc w:val="both"/>
        <w:rPr>
          <w:sz w:val="20"/>
        </w:rPr>
      </w:pPr>
      <w:r>
        <w:rPr>
          <w:sz w:val="20"/>
        </w:rPr>
        <w:t>Komisyon, 6. paragrafta atıfta bulunulan standart format başta olmak üzere, bu maddede atıfta bulunulan karşılıklı yardıma ilişkin format ile usulleri ve denetim makamları arasında ve denetim makamları ile Kurul arasında elektronik yollarla bilgi alışverişine ilişkin düzenlemeleri, uygulama tasarrufları vasıtasıyla, belirtebilir. Bu uygulama tasarrufları 93(2) maddesinde atıfta bulunulan inceleme usulü uyarınca kabul</w:t>
      </w:r>
      <w:r>
        <w:rPr>
          <w:spacing w:val="-1"/>
          <w:sz w:val="20"/>
        </w:rPr>
        <w:t> </w:t>
      </w:r>
      <w:r>
        <w:rPr>
          <w:sz w:val="20"/>
        </w:rPr>
        <w:t>edilir.</w:t>
      </w:r>
    </w:p>
    <w:p>
      <w:pPr>
        <w:pStyle w:val="BodyText"/>
        <w:rPr>
          <w:sz w:val="22"/>
        </w:rPr>
      </w:pPr>
    </w:p>
    <w:p>
      <w:pPr>
        <w:pStyle w:val="BodyText"/>
        <w:spacing w:before="11"/>
        <w:rPr>
          <w:sz w:val="23"/>
        </w:rPr>
      </w:pPr>
    </w:p>
    <w:p>
      <w:pPr>
        <w:pStyle w:val="BodyText"/>
        <w:spacing w:line="276" w:lineRule="auto"/>
        <w:ind w:left="5035" w:right="5053"/>
        <w:jc w:val="center"/>
      </w:pPr>
      <w:r>
        <w:rPr/>
        <w:t>Madde 62</w:t>
      </w:r>
    </w:p>
    <w:p>
      <w:pPr>
        <w:spacing w:after="0" w:line="276" w:lineRule="auto"/>
        <w:jc w:val="cente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Heading1"/>
        <w:spacing w:before="64"/>
        <w:ind w:left="3566" w:right="0"/>
        <w:jc w:val="left"/>
      </w:pPr>
      <w:r>
        <w:rPr/>
        <w:t>Denetim makamlarının ortak işlemleri</w:t>
      </w:r>
    </w:p>
    <w:p>
      <w:pPr>
        <w:pStyle w:val="BodyText"/>
        <w:rPr>
          <w:b/>
          <w:sz w:val="22"/>
        </w:rPr>
      </w:pPr>
    </w:p>
    <w:p>
      <w:pPr>
        <w:pStyle w:val="BodyText"/>
        <w:spacing w:before="6"/>
        <w:rPr>
          <w:b/>
          <w:sz w:val="27"/>
        </w:rPr>
      </w:pPr>
    </w:p>
    <w:p>
      <w:pPr>
        <w:pStyle w:val="ListParagraph"/>
        <w:numPr>
          <w:ilvl w:val="0"/>
          <w:numId w:val="112"/>
        </w:numPr>
        <w:tabs>
          <w:tab w:pos="970" w:val="left" w:leader="none"/>
        </w:tabs>
        <w:spacing w:line="276" w:lineRule="auto" w:before="0" w:after="0"/>
        <w:ind w:left="726" w:right="697" w:firstLine="0"/>
        <w:jc w:val="both"/>
        <w:rPr>
          <w:sz w:val="20"/>
        </w:rPr>
      </w:pPr>
      <w:r>
        <w:rPr>
          <w:sz w:val="20"/>
        </w:rPr>
        <w:t>Denetim makamları, uygun olduğu hallerde, ortak soruşturmalar ve ortak yaptırım tedbirleri de dahil olmak üzere diğer üye devletlerin denetim makamlarının üyeleri veya personelinin müdahil olduğu ortak çalışmalar</w:t>
      </w:r>
      <w:r>
        <w:rPr>
          <w:spacing w:val="-2"/>
          <w:sz w:val="20"/>
        </w:rPr>
        <w:t> </w:t>
      </w:r>
      <w:r>
        <w:rPr>
          <w:sz w:val="20"/>
        </w:rPr>
        <w:t>gerçekleştirir.</w:t>
      </w:r>
    </w:p>
    <w:p>
      <w:pPr>
        <w:pStyle w:val="BodyText"/>
        <w:rPr>
          <w:sz w:val="27"/>
        </w:rPr>
      </w:pPr>
    </w:p>
    <w:p>
      <w:pPr>
        <w:pStyle w:val="ListParagraph"/>
        <w:numPr>
          <w:ilvl w:val="0"/>
          <w:numId w:val="112"/>
        </w:numPr>
        <w:tabs>
          <w:tab w:pos="1011" w:val="left" w:leader="none"/>
        </w:tabs>
        <w:spacing w:line="276" w:lineRule="auto" w:before="0" w:after="0"/>
        <w:ind w:left="726" w:right="688" w:firstLine="0"/>
        <w:jc w:val="both"/>
        <w:rPr>
          <w:sz w:val="20"/>
        </w:rPr>
      </w:pPr>
      <w:r>
        <w:rPr>
          <w:sz w:val="20"/>
        </w:rPr>
        <w:t>Kontrolör veya işleyicinin çeşitli üye devletlerde işletmelerinin bulunduğu veya birden fazla üye devlette önemli sayıda veri sahibinin işleme faaliyetlerinden kayda değer ölçüde etkilenmesinin muhtemel olduğu hallerde, her üye devletin bir denetim makamının ortak çalışmalara katılma hakkı bulunur. 56(1) veya (4) maddesi uyarınca yetkin olan denetim makamı her üye devletin denetim makamını ortak çalışmalara katılmaya davet eder ve bir denetim makamının katılma talebini herhangi bir gecikmeye mahal vermeksizin</w:t>
      </w:r>
      <w:r>
        <w:rPr>
          <w:spacing w:val="-1"/>
          <w:sz w:val="20"/>
        </w:rPr>
        <w:t> </w:t>
      </w:r>
      <w:r>
        <w:rPr>
          <w:sz w:val="20"/>
        </w:rPr>
        <w:t>yanıtlar.</w:t>
      </w:r>
    </w:p>
    <w:p>
      <w:pPr>
        <w:pStyle w:val="BodyText"/>
        <w:rPr>
          <w:sz w:val="22"/>
        </w:rPr>
      </w:pPr>
    </w:p>
    <w:p>
      <w:pPr>
        <w:pStyle w:val="BodyText"/>
        <w:rPr>
          <w:sz w:val="25"/>
        </w:rPr>
      </w:pPr>
    </w:p>
    <w:p>
      <w:pPr>
        <w:pStyle w:val="ListParagraph"/>
        <w:numPr>
          <w:ilvl w:val="0"/>
          <w:numId w:val="112"/>
        </w:numPr>
        <w:tabs>
          <w:tab w:pos="1027" w:val="left" w:leader="none"/>
        </w:tabs>
        <w:spacing w:line="276" w:lineRule="auto" w:before="0" w:after="0"/>
        <w:ind w:left="726" w:right="692" w:firstLine="0"/>
        <w:jc w:val="both"/>
        <w:rPr>
          <w:sz w:val="20"/>
        </w:rPr>
      </w:pPr>
      <w:r>
        <w:rPr>
          <w:sz w:val="20"/>
        </w:rPr>
        <w:t>Bir denetim makamı, üye devlet hukuku ve destekleyen denetim makamının onayı uyarınca, soruşturma yetkileri de dahil olmak üzere yetkileri, destekleyen denetim makamının ortak çalışmalara müdahil üyeleri ya da personeline devredebilir veya ev sahibi denetim makamının hukuku olanak tanıdığı ölçüde, destekleyen denetim makamının üyeleri veya personelinin soruşturma yetkilerini destekleyen denetim makamının üye devletinin hukuku uyarınca kullanmasına izin verebilir. Söz konusu soruşturma yetkileri yalnızca ev sahibi denetim makamının üyeleri veya personelinin kılavuzluğu altında ve bu üyeler veya personelin huzurunda kullanılabilir. Destekleyen denetim makamının üyeleri ya da personeli ev sahibi denetim makamının üye devletinin hukukuna</w:t>
      </w:r>
      <w:r>
        <w:rPr>
          <w:spacing w:val="-6"/>
          <w:sz w:val="20"/>
        </w:rPr>
        <w:t> </w:t>
      </w:r>
      <w:r>
        <w:rPr>
          <w:sz w:val="20"/>
        </w:rPr>
        <w:t>tabidir.</w:t>
      </w:r>
    </w:p>
    <w:p>
      <w:pPr>
        <w:pStyle w:val="BodyText"/>
        <w:rPr>
          <w:sz w:val="22"/>
        </w:rPr>
      </w:pPr>
    </w:p>
    <w:p>
      <w:pPr>
        <w:pStyle w:val="BodyText"/>
        <w:spacing w:before="2"/>
        <w:rPr>
          <w:sz w:val="24"/>
        </w:rPr>
      </w:pPr>
    </w:p>
    <w:p>
      <w:pPr>
        <w:pStyle w:val="ListParagraph"/>
        <w:numPr>
          <w:ilvl w:val="0"/>
          <w:numId w:val="112"/>
        </w:numPr>
        <w:tabs>
          <w:tab w:pos="967" w:val="left" w:leader="none"/>
        </w:tabs>
        <w:spacing w:line="276" w:lineRule="auto" w:before="1" w:after="0"/>
        <w:ind w:left="726" w:right="696" w:firstLine="0"/>
        <w:jc w:val="both"/>
        <w:rPr>
          <w:sz w:val="20"/>
        </w:rPr>
      </w:pPr>
      <w:r>
        <w:rPr>
          <w:sz w:val="20"/>
        </w:rPr>
        <w:t>1. paragraf uyarınca destekleyen bir denetim makamının personelinin başka bir üye devlette faaliyet gösterdiği hallerde, ev sahibi denetim makamının üye devleti, söz konusu personelin faaliyet gösterdiği üye devletin hukuku uyarınca mali sorumluluk da dahil olmak üzere onların eylemlerine ve faaliyetleri esnasında sebep olduklara her türlü zarara ilişkin sorumluluğu</w:t>
      </w:r>
      <w:r>
        <w:rPr>
          <w:spacing w:val="-9"/>
          <w:sz w:val="20"/>
        </w:rPr>
        <w:t> </w:t>
      </w:r>
      <w:r>
        <w:rPr>
          <w:sz w:val="20"/>
        </w:rPr>
        <w:t>üstlenir.</w:t>
      </w:r>
    </w:p>
    <w:p>
      <w:pPr>
        <w:pStyle w:val="BodyText"/>
        <w:rPr>
          <w:sz w:val="22"/>
        </w:rPr>
      </w:pPr>
    </w:p>
    <w:p>
      <w:pPr>
        <w:pStyle w:val="BodyText"/>
        <w:spacing w:before="10"/>
        <w:rPr>
          <w:sz w:val="23"/>
        </w:rPr>
      </w:pPr>
    </w:p>
    <w:p>
      <w:pPr>
        <w:pStyle w:val="ListParagraph"/>
        <w:numPr>
          <w:ilvl w:val="0"/>
          <w:numId w:val="112"/>
        </w:numPr>
        <w:tabs>
          <w:tab w:pos="1140" w:val="left" w:leader="none"/>
        </w:tabs>
        <w:spacing w:line="276" w:lineRule="auto" w:before="1" w:after="0"/>
        <w:ind w:left="726" w:right="690" w:firstLine="0"/>
        <w:jc w:val="both"/>
        <w:rPr>
          <w:sz w:val="20"/>
        </w:rPr>
      </w:pPr>
      <w:r>
        <w:rPr>
          <w:sz w:val="20"/>
        </w:rPr>
        <w:t>Topraklarında zarara sebep olunan üye devlet söz konusu zararı kendi personelinin sebep olduğu zarar açısından geçerli koşullar altında telafi eder. Personeli başka bir üye devletin topraklarındaki herhangi bir kişiye zarar veren destekleyen denetim makamının üye devleti söz konusu personel adına ilgili kişilere yaptığı ödemeler ile ilgili olarak diğer üye devleti eksiksiz olarak tazmin</w:t>
      </w:r>
      <w:r>
        <w:rPr>
          <w:spacing w:val="-25"/>
          <w:sz w:val="20"/>
        </w:rPr>
        <w:t> </w:t>
      </w:r>
      <w:r>
        <w:rPr>
          <w:sz w:val="20"/>
        </w:rPr>
        <w:t>eder.</w:t>
      </w:r>
    </w:p>
    <w:p>
      <w:pPr>
        <w:pStyle w:val="BodyText"/>
        <w:rPr>
          <w:sz w:val="22"/>
        </w:rPr>
      </w:pPr>
    </w:p>
    <w:p>
      <w:pPr>
        <w:pStyle w:val="BodyText"/>
        <w:spacing w:before="9"/>
        <w:rPr>
          <w:sz w:val="24"/>
        </w:rPr>
      </w:pPr>
    </w:p>
    <w:p>
      <w:pPr>
        <w:pStyle w:val="ListParagraph"/>
        <w:numPr>
          <w:ilvl w:val="0"/>
          <w:numId w:val="112"/>
        </w:numPr>
        <w:tabs>
          <w:tab w:pos="951" w:val="left" w:leader="none"/>
        </w:tabs>
        <w:spacing w:line="276" w:lineRule="auto" w:before="0" w:after="0"/>
        <w:ind w:left="726" w:right="691" w:firstLine="0"/>
        <w:jc w:val="both"/>
        <w:rPr>
          <w:sz w:val="20"/>
        </w:rPr>
      </w:pPr>
      <w:r>
        <w:rPr>
          <w:sz w:val="20"/>
        </w:rPr>
        <w:t>Haklarının üçüncü taraflarla karşılıklı olarak kullanımına halel gelmeksizin ve 5. paragraf haricinde, her üye devlet, 1. paragrafta sağlanan durumda, 4. paragrafta atıfta bulunulan zararla ilgili olarak başka bir üye devletten tazminat talep etmekten</w:t>
      </w:r>
      <w:r>
        <w:rPr>
          <w:spacing w:val="-5"/>
          <w:sz w:val="20"/>
        </w:rPr>
        <w:t> </w:t>
      </w:r>
      <w:r>
        <w:rPr>
          <w:sz w:val="20"/>
        </w:rPr>
        <w:t>kaçınır.</w:t>
      </w:r>
    </w:p>
    <w:p>
      <w:pPr>
        <w:pStyle w:val="BodyText"/>
        <w:rPr>
          <w:sz w:val="22"/>
        </w:rPr>
      </w:pPr>
    </w:p>
    <w:p>
      <w:pPr>
        <w:pStyle w:val="BodyText"/>
        <w:rPr>
          <w:sz w:val="24"/>
        </w:rPr>
      </w:pPr>
    </w:p>
    <w:p>
      <w:pPr>
        <w:pStyle w:val="ListParagraph"/>
        <w:numPr>
          <w:ilvl w:val="0"/>
          <w:numId w:val="112"/>
        </w:numPr>
        <w:tabs>
          <w:tab w:pos="1003" w:val="left" w:leader="none"/>
        </w:tabs>
        <w:spacing w:line="276" w:lineRule="auto" w:before="0" w:after="0"/>
        <w:ind w:left="726" w:right="689" w:firstLine="0"/>
        <w:jc w:val="both"/>
        <w:rPr>
          <w:sz w:val="20"/>
        </w:rPr>
      </w:pPr>
      <w:r>
        <w:rPr>
          <w:sz w:val="20"/>
        </w:rPr>
        <w:t>Bir ortak çalışmanın amaçlandığı ve bir denetim makamının bu maddenin 2. paragrafının ikinci cümlesinde ortaya konan yükümlülüğü bir ay içerisinde yerine getirmediği hallerde, diğer denetim makamları 55. madde uyarınca üye devletinin topraklarında geçici bir tedbir kabul edebilir. Bu durumda, 66(1) maddesi kapsamındaki acil bir şekilde harekete geçme ihtiyacının yerine getirildiği varsayılır ve 66(2)</w:t>
      </w:r>
      <w:r>
        <w:rPr>
          <w:spacing w:val="-4"/>
          <w:sz w:val="20"/>
        </w:rPr>
        <w:t> </w:t>
      </w:r>
      <w:r>
        <w:rPr>
          <w:sz w:val="20"/>
        </w:rPr>
        <w:t>maddesi</w:t>
      </w:r>
      <w:r>
        <w:rPr>
          <w:spacing w:val="-5"/>
          <w:sz w:val="20"/>
        </w:rPr>
        <w:t> </w:t>
      </w:r>
      <w:r>
        <w:rPr>
          <w:sz w:val="20"/>
        </w:rPr>
        <w:t>uyarınca</w:t>
      </w:r>
      <w:r>
        <w:rPr>
          <w:spacing w:val="-4"/>
          <w:sz w:val="20"/>
        </w:rPr>
        <w:t> </w:t>
      </w:r>
      <w:r>
        <w:rPr>
          <w:sz w:val="20"/>
        </w:rPr>
        <w:t>Kurul’dan</w:t>
      </w:r>
      <w:r>
        <w:rPr>
          <w:spacing w:val="-3"/>
          <w:sz w:val="20"/>
        </w:rPr>
        <w:t> </w:t>
      </w:r>
      <w:r>
        <w:rPr>
          <w:sz w:val="20"/>
        </w:rPr>
        <w:t>bir</w:t>
      </w:r>
      <w:r>
        <w:rPr>
          <w:spacing w:val="-3"/>
          <w:sz w:val="20"/>
        </w:rPr>
        <w:t> </w:t>
      </w:r>
      <w:r>
        <w:rPr>
          <w:sz w:val="20"/>
        </w:rPr>
        <w:t>görüş</w:t>
      </w:r>
      <w:r>
        <w:rPr>
          <w:spacing w:val="-3"/>
          <w:sz w:val="20"/>
        </w:rPr>
        <w:t> </w:t>
      </w:r>
      <w:r>
        <w:rPr>
          <w:sz w:val="20"/>
        </w:rPr>
        <w:t>alınması</w:t>
      </w:r>
      <w:r>
        <w:rPr>
          <w:spacing w:val="-4"/>
          <w:sz w:val="20"/>
        </w:rPr>
        <w:t> </w:t>
      </w:r>
      <w:r>
        <w:rPr>
          <w:sz w:val="20"/>
        </w:rPr>
        <w:t>veya</w:t>
      </w:r>
      <w:r>
        <w:rPr>
          <w:spacing w:val="-2"/>
          <w:sz w:val="20"/>
        </w:rPr>
        <w:t> </w:t>
      </w:r>
      <w:r>
        <w:rPr>
          <w:sz w:val="20"/>
        </w:rPr>
        <w:t>acil</w:t>
      </w:r>
      <w:r>
        <w:rPr>
          <w:spacing w:val="-5"/>
          <w:sz w:val="20"/>
        </w:rPr>
        <w:t> </w:t>
      </w:r>
      <w:r>
        <w:rPr>
          <w:sz w:val="20"/>
        </w:rPr>
        <w:t>bir</w:t>
      </w:r>
      <w:r>
        <w:rPr>
          <w:spacing w:val="-3"/>
          <w:sz w:val="20"/>
        </w:rPr>
        <w:t> </w:t>
      </w:r>
      <w:r>
        <w:rPr>
          <w:sz w:val="20"/>
        </w:rPr>
        <w:t>bağlayıcı</w:t>
      </w:r>
      <w:r>
        <w:rPr>
          <w:spacing w:val="-4"/>
          <w:sz w:val="20"/>
        </w:rPr>
        <w:t> </w:t>
      </w:r>
      <w:r>
        <w:rPr>
          <w:sz w:val="20"/>
        </w:rPr>
        <w:t>karar</w:t>
      </w:r>
      <w:r>
        <w:rPr>
          <w:spacing w:val="-3"/>
          <w:sz w:val="20"/>
        </w:rPr>
        <w:t> </w:t>
      </w:r>
      <w:r>
        <w:rPr>
          <w:sz w:val="20"/>
        </w:rPr>
        <w:t>çıkarılması</w:t>
      </w:r>
      <w:r>
        <w:rPr>
          <w:spacing w:val="-4"/>
          <w:sz w:val="20"/>
        </w:rPr>
        <w:t> </w:t>
      </w:r>
      <w:r>
        <w:rPr>
          <w:sz w:val="20"/>
        </w:rPr>
        <w:t>gerekir.</w:t>
      </w:r>
    </w:p>
    <w:p>
      <w:pPr>
        <w:pStyle w:val="BodyText"/>
        <w:rPr>
          <w:sz w:val="23"/>
        </w:rPr>
      </w:pPr>
    </w:p>
    <w:p>
      <w:pPr>
        <w:pStyle w:val="BodyText"/>
        <w:ind w:left="2207" w:right="2222"/>
        <w:jc w:val="center"/>
      </w:pPr>
      <w:r>
        <w:rPr/>
        <w:t>Kesim 2</w:t>
      </w:r>
    </w:p>
    <w:p>
      <w:pPr>
        <w:pStyle w:val="BodyText"/>
        <w:spacing w:before="4"/>
        <w:rPr>
          <w:sz w:val="26"/>
        </w:rPr>
      </w:pPr>
    </w:p>
    <w:p>
      <w:pPr>
        <w:pStyle w:val="Heading1"/>
        <w:ind w:right="2208"/>
      </w:pPr>
      <w:r>
        <w:rPr/>
        <w:t>Tutarlılık</w:t>
      </w:r>
    </w:p>
    <w:p>
      <w:pPr>
        <w:pStyle w:val="BodyText"/>
        <w:rPr>
          <w:b/>
          <w:sz w:val="22"/>
        </w:rPr>
      </w:pPr>
    </w:p>
    <w:p>
      <w:pPr>
        <w:pStyle w:val="BodyText"/>
        <w:spacing w:before="3"/>
        <w:rPr>
          <w:b/>
          <w:sz w:val="27"/>
        </w:rPr>
      </w:pPr>
    </w:p>
    <w:p>
      <w:pPr>
        <w:pStyle w:val="BodyText"/>
        <w:spacing w:line="278" w:lineRule="auto" w:before="1"/>
        <w:ind w:left="5035" w:right="5053"/>
        <w:jc w:val="center"/>
      </w:pPr>
      <w:r>
        <w:rPr/>
        <w:t>Madde 63</w:t>
      </w:r>
    </w:p>
    <w:p>
      <w:pPr>
        <w:spacing w:after="0" w:line="278" w:lineRule="auto"/>
        <w:jc w:val="cente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Heading1"/>
        <w:spacing w:line="276" w:lineRule="auto" w:before="64"/>
        <w:ind w:left="4718" w:right="4737" w:firstLine="2"/>
      </w:pPr>
      <w:r>
        <w:rPr/>
        <w:t>Tutarlılık </w:t>
      </w:r>
      <w:r>
        <w:rPr>
          <w:w w:val="95"/>
        </w:rPr>
        <w:t>mekanizması</w:t>
      </w:r>
    </w:p>
    <w:p>
      <w:pPr>
        <w:pStyle w:val="BodyText"/>
        <w:rPr>
          <w:b/>
          <w:sz w:val="22"/>
        </w:rPr>
      </w:pPr>
    </w:p>
    <w:p>
      <w:pPr>
        <w:pStyle w:val="BodyText"/>
        <w:spacing w:before="10"/>
        <w:rPr>
          <w:b/>
          <w:sz w:val="24"/>
        </w:rPr>
      </w:pPr>
    </w:p>
    <w:p>
      <w:pPr>
        <w:pStyle w:val="BodyText"/>
        <w:spacing w:line="276" w:lineRule="auto"/>
        <w:ind w:left="726" w:right="695"/>
        <w:jc w:val="both"/>
      </w:pPr>
      <w:r>
        <w:rPr/>
        <w:t>Bu Tüzük’ün Birlik içerisinde tutarlı bir şekilde uygulanmasına katkıda bulunulması amacıyla, denetim makamları, bu kesimde belirtilen tutarlılık mekanizması vasıtasıyla, birbirleriyle ve, uygun olduğu hallerde, Komisyon ile işbirliği</w:t>
      </w:r>
      <w:r>
        <w:rPr>
          <w:spacing w:val="-2"/>
        </w:rPr>
        <w:t> </w:t>
      </w:r>
      <w:r>
        <w:rPr/>
        <w:t>yapar.</w:t>
      </w:r>
    </w:p>
    <w:p>
      <w:pPr>
        <w:pStyle w:val="BodyText"/>
        <w:rPr>
          <w:sz w:val="22"/>
        </w:rPr>
      </w:pPr>
    </w:p>
    <w:p>
      <w:pPr>
        <w:pStyle w:val="BodyText"/>
        <w:spacing w:before="5"/>
        <w:rPr>
          <w:sz w:val="24"/>
        </w:rPr>
      </w:pPr>
    </w:p>
    <w:p>
      <w:pPr>
        <w:pStyle w:val="BodyText"/>
        <w:spacing w:line="276" w:lineRule="auto"/>
        <w:ind w:left="5035" w:right="5053"/>
        <w:jc w:val="center"/>
      </w:pPr>
      <w:r>
        <w:rPr/>
        <w:t>Madde 64</w:t>
      </w:r>
    </w:p>
    <w:p>
      <w:pPr>
        <w:pStyle w:val="BodyText"/>
        <w:rPr>
          <w:sz w:val="22"/>
        </w:rPr>
      </w:pPr>
    </w:p>
    <w:p>
      <w:pPr>
        <w:pStyle w:val="BodyText"/>
        <w:spacing w:before="1"/>
        <w:rPr>
          <w:sz w:val="24"/>
        </w:rPr>
      </w:pPr>
    </w:p>
    <w:p>
      <w:pPr>
        <w:pStyle w:val="Heading1"/>
        <w:ind w:right="2226"/>
      </w:pPr>
      <w:r>
        <w:rPr/>
        <w:t>Kurulun görüşü</w:t>
      </w:r>
    </w:p>
    <w:p>
      <w:pPr>
        <w:pStyle w:val="BodyText"/>
        <w:rPr>
          <w:b/>
          <w:sz w:val="22"/>
        </w:rPr>
      </w:pPr>
    </w:p>
    <w:p>
      <w:pPr>
        <w:pStyle w:val="BodyText"/>
        <w:spacing w:before="11"/>
        <w:rPr>
          <w:b/>
          <w:sz w:val="27"/>
        </w:rPr>
      </w:pPr>
    </w:p>
    <w:p>
      <w:pPr>
        <w:pStyle w:val="ListParagraph"/>
        <w:numPr>
          <w:ilvl w:val="0"/>
          <w:numId w:val="113"/>
        </w:numPr>
        <w:tabs>
          <w:tab w:pos="967" w:val="left" w:leader="none"/>
        </w:tabs>
        <w:spacing w:line="276" w:lineRule="auto" w:before="0" w:after="0"/>
        <w:ind w:left="726" w:right="694" w:firstLine="0"/>
        <w:jc w:val="both"/>
        <w:rPr>
          <w:sz w:val="20"/>
        </w:rPr>
      </w:pPr>
      <w:r>
        <w:rPr>
          <w:sz w:val="20"/>
        </w:rPr>
        <w:t>Kurul, yetkin bir denetim makamının aşağıdaki tedbirlerden herhangi birini kabul etmeyi amaçlaması halinde, bir görüş bildirir. Bu amaçla, yetkin denetim makamı, karar taslağı şu özellikleri taşıdığında, taslak kararı Kurul’a</w:t>
      </w:r>
      <w:r>
        <w:rPr>
          <w:spacing w:val="0"/>
          <w:sz w:val="20"/>
        </w:rPr>
        <w:t> </w:t>
      </w:r>
      <w:r>
        <w:rPr>
          <w:sz w:val="20"/>
        </w:rPr>
        <w:t>iletir:</w:t>
      </w:r>
    </w:p>
    <w:p>
      <w:pPr>
        <w:pStyle w:val="BodyText"/>
        <w:spacing w:before="3"/>
        <w:rPr>
          <w:sz w:val="24"/>
        </w:rPr>
      </w:pPr>
    </w:p>
    <w:p>
      <w:pPr>
        <w:pStyle w:val="ListParagraph"/>
        <w:numPr>
          <w:ilvl w:val="0"/>
          <w:numId w:val="114"/>
        </w:numPr>
        <w:tabs>
          <w:tab w:pos="1084" w:val="left" w:leader="none"/>
        </w:tabs>
        <w:spacing w:line="276" w:lineRule="auto" w:before="0" w:after="0"/>
        <w:ind w:left="1022" w:right="692" w:hanging="296"/>
        <w:jc w:val="left"/>
        <w:rPr>
          <w:sz w:val="20"/>
        </w:rPr>
      </w:pPr>
      <w:r>
        <w:rPr>
          <w:sz w:val="20"/>
        </w:rPr>
        <w:t>karar ile 35(4) maddesi uyarınca bir veri koruma etki değerlendirmesi gerekliliğine tabi işleme faaliyetlerine ilişkin bir listenin kabul edilmesi</w:t>
      </w:r>
      <w:r>
        <w:rPr>
          <w:spacing w:val="-10"/>
          <w:sz w:val="20"/>
        </w:rPr>
        <w:t> </w:t>
      </w:r>
      <w:r>
        <w:rPr>
          <w:sz w:val="20"/>
        </w:rPr>
        <w:t>amaçlandığında;</w:t>
      </w:r>
    </w:p>
    <w:p>
      <w:pPr>
        <w:pStyle w:val="BodyText"/>
        <w:spacing w:before="2"/>
        <w:rPr>
          <w:sz w:val="24"/>
        </w:rPr>
      </w:pPr>
    </w:p>
    <w:p>
      <w:pPr>
        <w:pStyle w:val="ListParagraph"/>
        <w:numPr>
          <w:ilvl w:val="0"/>
          <w:numId w:val="114"/>
        </w:numPr>
        <w:tabs>
          <w:tab w:pos="1075" w:val="left" w:leader="none"/>
        </w:tabs>
        <w:spacing w:line="276" w:lineRule="auto" w:before="0" w:after="0"/>
        <w:ind w:left="1022" w:right="703" w:hanging="296"/>
        <w:jc w:val="left"/>
        <w:rPr>
          <w:sz w:val="20"/>
        </w:rPr>
      </w:pPr>
      <w:r>
        <w:rPr>
          <w:sz w:val="20"/>
        </w:rPr>
        <w:t>40(7) maddesi uyarınca bir davranış kuralları önerisi veya bir davranış kuralları değişikliği veya kapsam</w:t>
      </w:r>
      <w:r>
        <w:rPr>
          <w:spacing w:val="-2"/>
          <w:sz w:val="20"/>
        </w:rPr>
        <w:t> </w:t>
      </w:r>
      <w:r>
        <w:rPr>
          <w:sz w:val="20"/>
        </w:rPr>
        <w:t>genişletme</w:t>
      </w:r>
      <w:r>
        <w:rPr>
          <w:spacing w:val="-5"/>
          <w:sz w:val="20"/>
        </w:rPr>
        <w:t> </w:t>
      </w:r>
      <w:r>
        <w:rPr>
          <w:sz w:val="20"/>
        </w:rPr>
        <w:t>taslağının</w:t>
      </w:r>
      <w:r>
        <w:rPr>
          <w:spacing w:val="-6"/>
          <w:sz w:val="20"/>
        </w:rPr>
        <w:t> </w:t>
      </w:r>
      <w:r>
        <w:rPr>
          <w:sz w:val="20"/>
        </w:rPr>
        <w:t>bu</w:t>
      </w:r>
      <w:r>
        <w:rPr>
          <w:spacing w:val="-5"/>
          <w:sz w:val="20"/>
        </w:rPr>
        <w:t> </w:t>
      </w:r>
      <w:r>
        <w:rPr>
          <w:sz w:val="20"/>
        </w:rPr>
        <w:t>Tüzük’le</w:t>
      </w:r>
      <w:r>
        <w:rPr>
          <w:spacing w:val="-4"/>
          <w:sz w:val="20"/>
        </w:rPr>
        <w:t> </w:t>
      </w:r>
      <w:r>
        <w:rPr>
          <w:sz w:val="20"/>
        </w:rPr>
        <w:t>uyumlu</w:t>
      </w:r>
      <w:r>
        <w:rPr>
          <w:spacing w:val="-4"/>
          <w:sz w:val="20"/>
        </w:rPr>
        <w:t> </w:t>
      </w:r>
      <w:r>
        <w:rPr>
          <w:sz w:val="20"/>
        </w:rPr>
        <w:t>olup</w:t>
      </w:r>
      <w:r>
        <w:rPr>
          <w:spacing w:val="-5"/>
          <w:sz w:val="20"/>
        </w:rPr>
        <w:t> </w:t>
      </w:r>
      <w:r>
        <w:rPr>
          <w:sz w:val="20"/>
        </w:rPr>
        <w:t>olmadığının</w:t>
      </w:r>
      <w:r>
        <w:rPr>
          <w:spacing w:val="-4"/>
          <w:sz w:val="20"/>
        </w:rPr>
        <w:t> </w:t>
      </w:r>
      <w:r>
        <w:rPr>
          <w:sz w:val="20"/>
        </w:rPr>
        <w:t>ilişkin</w:t>
      </w:r>
      <w:r>
        <w:rPr>
          <w:spacing w:val="-5"/>
          <w:sz w:val="20"/>
        </w:rPr>
        <w:t> </w:t>
      </w:r>
      <w:r>
        <w:rPr>
          <w:sz w:val="20"/>
        </w:rPr>
        <w:t>bir</w:t>
      </w:r>
      <w:r>
        <w:rPr>
          <w:spacing w:val="-4"/>
          <w:sz w:val="20"/>
        </w:rPr>
        <w:t> </w:t>
      </w:r>
      <w:r>
        <w:rPr>
          <w:sz w:val="20"/>
        </w:rPr>
        <w:t>husus</w:t>
      </w:r>
      <w:r>
        <w:rPr>
          <w:spacing w:val="-4"/>
          <w:sz w:val="20"/>
        </w:rPr>
        <w:t> </w:t>
      </w:r>
      <w:r>
        <w:rPr>
          <w:sz w:val="20"/>
        </w:rPr>
        <w:t>ile</w:t>
      </w:r>
      <w:r>
        <w:rPr>
          <w:spacing w:val="-5"/>
          <w:sz w:val="20"/>
        </w:rPr>
        <w:t> </w:t>
      </w:r>
      <w:r>
        <w:rPr>
          <w:sz w:val="20"/>
        </w:rPr>
        <w:t>alakalı</w:t>
      </w:r>
      <w:r>
        <w:rPr>
          <w:spacing w:val="-5"/>
          <w:sz w:val="20"/>
        </w:rPr>
        <w:t> </w:t>
      </w:r>
      <w:r>
        <w:rPr>
          <w:sz w:val="20"/>
        </w:rPr>
        <w:t>olması;</w:t>
      </w:r>
    </w:p>
    <w:p>
      <w:pPr>
        <w:pStyle w:val="ListParagraph"/>
        <w:numPr>
          <w:ilvl w:val="0"/>
          <w:numId w:val="114"/>
        </w:numPr>
        <w:tabs>
          <w:tab w:pos="1084" w:val="left" w:leader="none"/>
        </w:tabs>
        <w:spacing w:line="276" w:lineRule="auto" w:before="2" w:after="0"/>
        <w:ind w:left="726" w:right="695" w:firstLine="0"/>
        <w:jc w:val="both"/>
        <w:rPr>
          <w:sz w:val="20"/>
        </w:rPr>
      </w:pPr>
      <w:r>
        <w:rPr>
          <w:sz w:val="20"/>
        </w:rPr>
        <w:t>karar ile 41(3) maddesi uyarınca bir organın veya 43(3) maddesi uyarınca bir belgelendirme organının akreditasyonuna yönelik kriterlerin onaylanmasının</w:t>
      </w:r>
      <w:r>
        <w:rPr>
          <w:spacing w:val="-4"/>
          <w:sz w:val="20"/>
        </w:rPr>
        <w:t> </w:t>
      </w:r>
      <w:r>
        <w:rPr>
          <w:sz w:val="20"/>
        </w:rPr>
        <w:t>amaçlanması;</w:t>
      </w:r>
    </w:p>
    <w:p>
      <w:pPr>
        <w:pStyle w:val="BodyText"/>
        <w:spacing w:before="9"/>
        <w:rPr>
          <w:sz w:val="22"/>
        </w:rPr>
      </w:pPr>
    </w:p>
    <w:p>
      <w:pPr>
        <w:pStyle w:val="ListParagraph"/>
        <w:numPr>
          <w:ilvl w:val="0"/>
          <w:numId w:val="114"/>
        </w:numPr>
        <w:tabs>
          <w:tab w:pos="1087" w:val="left" w:leader="none"/>
        </w:tabs>
        <w:spacing w:line="276" w:lineRule="auto" w:before="1" w:after="0"/>
        <w:ind w:left="726" w:right="113" w:firstLine="0"/>
        <w:jc w:val="both"/>
        <w:rPr>
          <w:sz w:val="20"/>
        </w:rPr>
      </w:pPr>
      <w:r>
        <w:rPr>
          <w:sz w:val="20"/>
        </w:rPr>
        <w:t>karar ile 46(2) maddesinin (d) bendinde ve 28(8) maddesinde atıfta bulunulan standart veri koruma şartlarının belirlenmesinin amaçlanması; (e) karar ile 46(3) maddesinin (a) bendinde atıfta bulunulan sözleşmeye bağlı şartların onaylanmasının amaçlanması</w:t>
      </w:r>
      <w:r>
        <w:rPr>
          <w:spacing w:val="-4"/>
          <w:sz w:val="20"/>
        </w:rPr>
        <w:t> </w:t>
      </w:r>
      <w:r>
        <w:rPr>
          <w:sz w:val="20"/>
        </w:rPr>
        <w:t>veya</w:t>
      </w:r>
    </w:p>
    <w:p>
      <w:pPr>
        <w:pStyle w:val="BodyText"/>
        <w:spacing w:before="25"/>
        <w:ind w:left="726"/>
        <w:jc w:val="both"/>
      </w:pPr>
      <w:r>
        <w:rPr/>
        <w:t>(f) karar ile 47. madde kapsamındaki bağlayıcı kurumsal kuralların onaylanmasının amaçlanması.</w:t>
      </w:r>
    </w:p>
    <w:p>
      <w:pPr>
        <w:pStyle w:val="BodyText"/>
        <w:spacing w:before="1"/>
        <w:rPr>
          <w:sz w:val="27"/>
        </w:rPr>
      </w:pPr>
    </w:p>
    <w:p>
      <w:pPr>
        <w:pStyle w:val="ListParagraph"/>
        <w:numPr>
          <w:ilvl w:val="0"/>
          <w:numId w:val="113"/>
        </w:numPr>
        <w:tabs>
          <w:tab w:pos="977" w:val="left" w:leader="none"/>
        </w:tabs>
        <w:spacing w:line="240" w:lineRule="auto" w:before="1" w:after="0"/>
        <w:ind w:left="976" w:right="0" w:hanging="250"/>
        <w:jc w:val="both"/>
        <w:rPr>
          <w:sz w:val="20"/>
        </w:rPr>
      </w:pPr>
      <w:r>
        <w:rPr>
          <w:sz w:val="20"/>
        </w:rPr>
        <w:t>Özellikle yetkin bir denetim makamının 61. madde uyarınca karşılıklı yardım yükümlülüklerine</w:t>
      </w:r>
      <w:r>
        <w:rPr>
          <w:spacing w:val="-5"/>
          <w:sz w:val="20"/>
        </w:rPr>
        <w:t> </w:t>
      </w:r>
      <w:r>
        <w:rPr>
          <w:sz w:val="20"/>
        </w:rPr>
        <w:t>veya</w:t>
      </w:r>
    </w:p>
    <w:p>
      <w:pPr>
        <w:pStyle w:val="BodyText"/>
        <w:spacing w:line="276" w:lineRule="auto" w:before="34"/>
        <w:ind w:left="726" w:right="693"/>
        <w:jc w:val="both"/>
      </w:pPr>
      <w:r>
        <w:rPr/>
        <w:t>62. madde uyarınca ortak çalışmalara ilişkin yükümlülüklerine uymadığı hallerde, herhangi bir denetim makamı, Kurul Başkanı veya Komisyon genel uygulamaya ilişkin herhangi bir hususun veya birden fazla üye devlette etkilere neden olan herhangi bir hususun bir görüş alınması amacı ile Kurul tarafından incelenmesini talep edebilir.</w:t>
      </w:r>
    </w:p>
    <w:p>
      <w:pPr>
        <w:pStyle w:val="BodyText"/>
        <w:rPr>
          <w:sz w:val="22"/>
        </w:rPr>
      </w:pPr>
    </w:p>
    <w:p>
      <w:pPr>
        <w:pStyle w:val="BodyText"/>
        <w:spacing w:before="11"/>
        <w:rPr>
          <w:sz w:val="23"/>
        </w:rPr>
      </w:pPr>
    </w:p>
    <w:p>
      <w:pPr>
        <w:pStyle w:val="ListParagraph"/>
        <w:numPr>
          <w:ilvl w:val="0"/>
          <w:numId w:val="115"/>
        </w:numPr>
        <w:tabs>
          <w:tab w:pos="1006" w:val="left" w:leader="none"/>
        </w:tabs>
        <w:spacing w:line="276" w:lineRule="auto" w:before="0" w:after="0"/>
        <w:ind w:left="726" w:right="691" w:firstLine="0"/>
        <w:jc w:val="both"/>
        <w:rPr>
          <w:sz w:val="20"/>
        </w:rPr>
      </w:pPr>
      <w:r>
        <w:rPr>
          <w:sz w:val="20"/>
        </w:rPr>
        <w:t>1 ve 2. paragraflarda atıfta bulunulan hallerde, Kurul, aynı husus ile ilgili halihazırda bir görüş bildirmemiş olması koşuluyla, kendisine sunulan hususla ilgili bir görüş bildirir. Bu görüş Kurul üyelerinin salt çoğunluğuyla sekiz hafta içerisinde kabul edilir. Bu süre, konunun karmaşıklığı dikkate alınarak, altı hafta daha uzatılabilir. 1. paragrafta atıfta bulunulan ve 5. paragraf uyarınca Kurul üyelerine dağıtılan taslak karar ile ilgili olarak, Başkan tarafından belirtilen makul bir süre içerisinde itiraz etmeyen bir üyenin taslak karara mutabık kaldığı</w:t>
      </w:r>
      <w:r>
        <w:rPr>
          <w:spacing w:val="-6"/>
          <w:sz w:val="20"/>
        </w:rPr>
        <w:t> </w:t>
      </w:r>
      <w:r>
        <w:rPr>
          <w:sz w:val="20"/>
        </w:rPr>
        <w:t>değerlendirilir.</w:t>
      </w:r>
    </w:p>
    <w:p>
      <w:pPr>
        <w:pStyle w:val="BodyText"/>
        <w:rPr>
          <w:sz w:val="22"/>
        </w:rPr>
      </w:pPr>
    </w:p>
    <w:p>
      <w:pPr>
        <w:pStyle w:val="BodyText"/>
        <w:spacing w:before="1"/>
        <w:rPr>
          <w:sz w:val="24"/>
        </w:rPr>
      </w:pPr>
    </w:p>
    <w:p>
      <w:pPr>
        <w:pStyle w:val="ListParagraph"/>
        <w:numPr>
          <w:ilvl w:val="0"/>
          <w:numId w:val="115"/>
        </w:numPr>
        <w:tabs>
          <w:tab w:pos="970" w:val="left" w:leader="none"/>
        </w:tabs>
        <w:spacing w:line="276" w:lineRule="auto" w:before="1" w:after="0"/>
        <w:ind w:left="726" w:right="692" w:firstLine="0"/>
        <w:jc w:val="both"/>
        <w:rPr>
          <w:sz w:val="20"/>
        </w:rPr>
      </w:pPr>
      <w:r>
        <w:rPr>
          <w:sz w:val="20"/>
        </w:rPr>
        <w:t>Denetim makamları ve Komisyon, durumuna göre, olgulara ilişkin bir özet, taslak karar, söz konusu tedbirin alınmasını gerekli kılan gerekçeler ve diğer ilgili denetim makamlarının görüşleri de dahil olmak üzere ilgili bilgileri gereksiz bir gecikmeye mahal vermeksizin, standart bir format kullanarak ve elektronik yollarla Kurul’a</w:t>
      </w:r>
      <w:r>
        <w:rPr>
          <w:spacing w:val="-1"/>
          <w:sz w:val="20"/>
        </w:rPr>
        <w:t> </w:t>
      </w:r>
      <w:r>
        <w:rPr>
          <w:sz w:val="20"/>
        </w:rPr>
        <w:t>iletir.</w:t>
      </w:r>
    </w:p>
    <w:p>
      <w:pPr>
        <w:pStyle w:val="BodyText"/>
        <w:spacing w:before="7"/>
        <w:rPr>
          <w:sz w:val="24"/>
        </w:rPr>
      </w:pPr>
    </w:p>
    <w:p>
      <w:pPr>
        <w:pStyle w:val="ListParagraph"/>
        <w:numPr>
          <w:ilvl w:val="0"/>
          <w:numId w:val="115"/>
        </w:numPr>
        <w:tabs>
          <w:tab w:pos="1011" w:val="left" w:leader="none"/>
        </w:tabs>
        <w:spacing w:line="276" w:lineRule="auto" w:before="0" w:after="0"/>
        <w:ind w:left="726" w:right="679" w:firstLine="0"/>
        <w:jc w:val="both"/>
        <w:rPr>
          <w:sz w:val="20"/>
        </w:rPr>
      </w:pPr>
      <w:r>
        <w:rPr>
          <w:sz w:val="20"/>
        </w:rPr>
        <w:t>Kurul Başkanı aşağıdaki tarafları, gereksiz bir gecikmeye mahal vermeksizin, elektronik yollarla aşağıdaki hususlarda</w:t>
      </w:r>
      <w:r>
        <w:rPr>
          <w:spacing w:val="-4"/>
          <w:sz w:val="20"/>
        </w:rPr>
        <w:t> </w:t>
      </w:r>
      <w:r>
        <w:rPr>
          <w:sz w:val="20"/>
        </w:rPr>
        <w:t>bilgilendirir:</w:t>
      </w:r>
    </w:p>
    <w:p>
      <w:pPr>
        <w:pStyle w:val="BodyText"/>
        <w:spacing w:before="11"/>
        <w:rPr>
          <w:sz w:val="23"/>
        </w:rPr>
      </w:pPr>
    </w:p>
    <w:p>
      <w:pPr>
        <w:pStyle w:val="ListParagraph"/>
        <w:numPr>
          <w:ilvl w:val="0"/>
          <w:numId w:val="116"/>
        </w:numPr>
        <w:tabs>
          <w:tab w:pos="1087" w:val="left" w:leader="none"/>
        </w:tabs>
        <w:spacing w:line="240" w:lineRule="auto" w:before="0" w:after="0"/>
        <w:ind w:left="1022" w:right="0" w:hanging="296"/>
        <w:jc w:val="both"/>
        <w:rPr>
          <w:sz w:val="20"/>
        </w:rPr>
      </w:pPr>
      <w:r>
        <w:rPr>
          <w:sz w:val="20"/>
        </w:rPr>
        <w:t>Kurul üyeleri ve Komisyon’u kendisine iletilen ilgili bilgiler hususunda standart bir format</w:t>
      </w:r>
      <w:r>
        <w:rPr>
          <w:spacing w:val="-36"/>
          <w:sz w:val="20"/>
        </w:rPr>
        <w:t> </w:t>
      </w:r>
      <w:r>
        <w:rPr>
          <w:sz w:val="20"/>
        </w:rPr>
        <w:t>kullanarak</w:t>
      </w:r>
    </w:p>
    <w:p>
      <w:pPr>
        <w:spacing w:after="0" w:line="240" w:lineRule="auto"/>
        <w:jc w:val="both"/>
        <w:rPr>
          <w:sz w:val="20"/>
        </w:rPr>
        <w:sectPr>
          <w:pgSz w:w="11930" w:h="16850"/>
          <w:pgMar w:header="961" w:footer="0" w:top="1240" w:bottom="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before="66"/>
        <w:ind w:left="1086"/>
      </w:pPr>
      <w:r>
        <w:rPr/>
        <w:t>bilgilendirir. Kurul sekretaryası, gerekmesi halinde, ilgili bilgilerin tercümelerini sağlar ve</w:t>
      </w:r>
    </w:p>
    <w:p>
      <w:pPr>
        <w:pStyle w:val="BodyText"/>
        <w:spacing w:before="9"/>
        <w:rPr>
          <w:sz w:val="26"/>
        </w:rPr>
      </w:pPr>
    </w:p>
    <w:p>
      <w:pPr>
        <w:pStyle w:val="ListParagraph"/>
        <w:numPr>
          <w:ilvl w:val="0"/>
          <w:numId w:val="116"/>
        </w:numPr>
        <w:tabs>
          <w:tab w:pos="1089" w:val="left" w:leader="none"/>
        </w:tabs>
        <w:spacing w:line="276" w:lineRule="auto" w:before="0" w:after="0"/>
        <w:ind w:left="1022" w:right="704" w:hanging="296"/>
        <w:jc w:val="both"/>
        <w:rPr>
          <w:sz w:val="20"/>
        </w:rPr>
      </w:pPr>
      <w:r>
        <w:rPr>
          <w:sz w:val="20"/>
        </w:rPr>
        <w:t>durumuna göre, 1 ve 2. paragraflarda atıfta bulunulan denetim makamı ve Komisyon’u görüş hususunda bilgilendirir ve görüşü kamuya</w:t>
      </w:r>
      <w:r>
        <w:rPr>
          <w:spacing w:val="-2"/>
          <w:sz w:val="20"/>
        </w:rPr>
        <w:t> </w:t>
      </w:r>
      <w:r>
        <w:rPr>
          <w:sz w:val="20"/>
        </w:rPr>
        <w:t>açıklar.</w:t>
      </w:r>
    </w:p>
    <w:p>
      <w:pPr>
        <w:pStyle w:val="BodyText"/>
        <w:spacing w:before="8"/>
        <w:rPr>
          <w:sz w:val="23"/>
        </w:rPr>
      </w:pPr>
    </w:p>
    <w:p>
      <w:pPr>
        <w:pStyle w:val="ListParagraph"/>
        <w:numPr>
          <w:ilvl w:val="0"/>
          <w:numId w:val="115"/>
        </w:numPr>
        <w:tabs>
          <w:tab w:pos="1140" w:val="left" w:leader="none"/>
        </w:tabs>
        <w:spacing w:line="276" w:lineRule="auto" w:before="1" w:after="0"/>
        <w:ind w:left="726" w:right="702" w:firstLine="0"/>
        <w:jc w:val="both"/>
        <w:rPr>
          <w:sz w:val="20"/>
        </w:rPr>
      </w:pPr>
      <w:r>
        <w:rPr>
          <w:sz w:val="20"/>
        </w:rPr>
        <w:t>Yetkin denetim makamı, 1. paragrafta atıfta bulunulan taslak kararını 3. paragrafta atıfta bulunulan süre içerisinde kabul</w:t>
      </w:r>
      <w:r>
        <w:rPr>
          <w:spacing w:val="-5"/>
          <w:sz w:val="20"/>
        </w:rPr>
        <w:t> </w:t>
      </w:r>
      <w:r>
        <w:rPr>
          <w:sz w:val="20"/>
        </w:rPr>
        <w:t>eder.</w:t>
      </w:r>
    </w:p>
    <w:p>
      <w:pPr>
        <w:pStyle w:val="BodyText"/>
        <w:rPr>
          <w:sz w:val="22"/>
        </w:rPr>
      </w:pPr>
    </w:p>
    <w:p>
      <w:pPr>
        <w:pStyle w:val="BodyText"/>
        <w:spacing w:before="2"/>
        <w:rPr>
          <w:sz w:val="24"/>
        </w:rPr>
      </w:pPr>
    </w:p>
    <w:p>
      <w:pPr>
        <w:pStyle w:val="ListParagraph"/>
        <w:numPr>
          <w:ilvl w:val="0"/>
          <w:numId w:val="115"/>
        </w:numPr>
        <w:tabs>
          <w:tab w:pos="979" w:val="left" w:leader="none"/>
        </w:tabs>
        <w:spacing w:line="276" w:lineRule="auto" w:before="0" w:after="0"/>
        <w:ind w:left="726" w:right="700" w:firstLine="0"/>
        <w:jc w:val="both"/>
        <w:rPr>
          <w:sz w:val="20"/>
        </w:rPr>
      </w:pPr>
      <w:r>
        <w:rPr>
          <w:sz w:val="20"/>
        </w:rPr>
        <w:t>1. paragrafta atıfta bulunulan denetim makamı Kurul’un görüşünü göz önünde bulundurur ve karar taslağını aynı şekilde tutacağını veya değiştireceğini ve, varsa, değiştirilmiş taslak kararını, görüşün alınmasından itibaren iki hafta içerisinde, standart bir format kullanarak ve elektronik yollarla Kurul Başkanı’na</w:t>
      </w:r>
      <w:r>
        <w:rPr>
          <w:spacing w:val="-1"/>
          <w:sz w:val="20"/>
        </w:rPr>
        <w:t> </w:t>
      </w:r>
      <w:r>
        <w:rPr>
          <w:sz w:val="20"/>
        </w:rPr>
        <w:t>iletir.</w:t>
      </w:r>
    </w:p>
    <w:p>
      <w:pPr>
        <w:pStyle w:val="BodyText"/>
        <w:rPr>
          <w:sz w:val="22"/>
        </w:rPr>
      </w:pPr>
    </w:p>
    <w:p>
      <w:pPr>
        <w:pStyle w:val="BodyText"/>
        <w:spacing w:before="3"/>
        <w:rPr>
          <w:sz w:val="24"/>
        </w:rPr>
      </w:pPr>
    </w:p>
    <w:p>
      <w:pPr>
        <w:pStyle w:val="ListParagraph"/>
        <w:numPr>
          <w:ilvl w:val="0"/>
          <w:numId w:val="115"/>
        </w:numPr>
        <w:tabs>
          <w:tab w:pos="1140" w:val="left" w:leader="none"/>
        </w:tabs>
        <w:spacing w:line="276" w:lineRule="auto" w:before="0" w:after="0"/>
        <w:ind w:left="726" w:right="694" w:firstLine="0"/>
        <w:jc w:val="both"/>
        <w:rPr>
          <w:sz w:val="20"/>
        </w:rPr>
      </w:pPr>
      <w:r>
        <w:rPr>
          <w:sz w:val="20"/>
        </w:rPr>
        <w:t>İlgili denetim makamının yerinde gerekçeler sağlamak suretiyle Kurul’un görüşüne tam olarak veya kısmen uygun hareket etmeye niyeti olmadığını bu maddenin 7. paragrafında atıfta bulunulan süre içerisinde Kurul Başkanı’na bildirmediği hallerde, 65(1) maddesi</w:t>
      </w:r>
      <w:r>
        <w:rPr>
          <w:spacing w:val="-9"/>
          <w:sz w:val="20"/>
        </w:rPr>
        <w:t> </w:t>
      </w:r>
      <w:r>
        <w:rPr>
          <w:sz w:val="20"/>
        </w:rPr>
        <w:t>uygulanır.</w:t>
      </w:r>
    </w:p>
    <w:p>
      <w:pPr>
        <w:pStyle w:val="BodyText"/>
        <w:rPr>
          <w:sz w:val="22"/>
        </w:rPr>
      </w:pPr>
    </w:p>
    <w:p>
      <w:pPr>
        <w:pStyle w:val="BodyText"/>
        <w:rPr>
          <w:sz w:val="24"/>
        </w:rPr>
      </w:pPr>
    </w:p>
    <w:p>
      <w:pPr>
        <w:pStyle w:val="BodyText"/>
        <w:spacing w:line="276" w:lineRule="auto"/>
        <w:ind w:left="5035" w:right="5053"/>
        <w:jc w:val="center"/>
      </w:pPr>
      <w:r>
        <w:rPr/>
        <w:t>Madde 65</w:t>
      </w:r>
    </w:p>
    <w:p>
      <w:pPr>
        <w:pStyle w:val="BodyText"/>
        <w:rPr>
          <w:sz w:val="22"/>
        </w:rPr>
      </w:pPr>
    </w:p>
    <w:p>
      <w:pPr>
        <w:pStyle w:val="BodyText"/>
        <w:spacing w:before="1"/>
        <w:rPr>
          <w:sz w:val="24"/>
        </w:rPr>
      </w:pPr>
    </w:p>
    <w:p>
      <w:pPr>
        <w:pStyle w:val="Heading1"/>
        <w:spacing w:line="278" w:lineRule="auto"/>
        <w:ind w:left="4028" w:right="4046"/>
      </w:pPr>
      <w:r>
        <w:rPr/>
        <w:t>İhtilafların Kurul tarafından çözülmesi</w:t>
      </w:r>
    </w:p>
    <w:p>
      <w:pPr>
        <w:pStyle w:val="BodyText"/>
        <w:rPr>
          <w:b/>
          <w:sz w:val="22"/>
        </w:rPr>
      </w:pPr>
    </w:p>
    <w:p>
      <w:pPr>
        <w:pStyle w:val="BodyText"/>
        <w:spacing w:before="8"/>
        <w:rPr>
          <w:b/>
          <w:sz w:val="24"/>
        </w:rPr>
      </w:pPr>
    </w:p>
    <w:p>
      <w:pPr>
        <w:pStyle w:val="ListParagraph"/>
        <w:numPr>
          <w:ilvl w:val="0"/>
          <w:numId w:val="117"/>
        </w:numPr>
        <w:tabs>
          <w:tab w:pos="975" w:val="left" w:leader="none"/>
        </w:tabs>
        <w:spacing w:line="276" w:lineRule="auto" w:before="0" w:after="0"/>
        <w:ind w:left="726" w:right="693" w:firstLine="0"/>
        <w:jc w:val="both"/>
        <w:rPr>
          <w:sz w:val="20"/>
        </w:rPr>
      </w:pPr>
      <w:r>
        <w:rPr>
          <w:sz w:val="20"/>
        </w:rPr>
        <w:t>Bu Tüzük’ün münferit durumlarda doğru ve tutarlı bir şekilde uygulanmasının sağlanması amacıyla, Kurul aşağıdaki hallerde bağlayıcı bir karar</w:t>
      </w:r>
      <w:r>
        <w:rPr>
          <w:spacing w:val="-6"/>
          <w:sz w:val="20"/>
        </w:rPr>
        <w:t> </w:t>
      </w:r>
      <w:r>
        <w:rPr>
          <w:sz w:val="20"/>
        </w:rPr>
        <w:t>alır:</w:t>
      </w:r>
    </w:p>
    <w:p>
      <w:pPr>
        <w:pStyle w:val="BodyText"/>
        <w:spacing w:before="8"/>
        <w:rPr>
          <w:sz w:val="23"/>
        </w:rPr>
      </w:pPr>
    </w:p>
    <w:p>
      <w:pPr>
        <w:pStyle w:val="ListParagraph"/>
        <w:numPr>
          <w:ilvl w:val="0"/>
          <w:numId w:val="118"/>
        </w:numPr>
        <w:tabs>
          <w:tab w:pos="1039" w:val="left" w:leader="none"/>
        </w:tabs>
        <w:spacing w:line="276" w:lineRule="auto" w:before="0" w:after="0"/>
        <w:ind w:left="1022" w:right="694" w:hanging="296"/>
        <w:jc w:val="both"/>
        <w:rPr>
          <w:sz w:val="20"/>
        </w:rPr>
      </w:pPr>
      <w:r>
        <w:rPr>
          <w:sz w:val="20"/>
        </w:rPr>
        <w:t>60(4) maddesinde atıfta bulunulan bir durumda, ilgili bir denetim makamının baş makamın bir taslak kararına yerinde ve gerekçeli bir itirazda bulunduğu veya baş makamın böylesi bir itirazı yerinde veya gerekçeli görmeyerek reddettiği hallerde. Bağlayıcı karar, yerinde ve gerekçeli bir itiraza konu olan tüm hususlar ile özellikle bu Tüzük’e ilişkin bir ihlal olup olmadığıyla</w:t>
      </w:r>
      <w:r>
        <w:rPr>
          <w:spacing w:val="-9"/>
          <w:sz w:val="20"/>
        </w:rPr>
        <w:t> </w:t>
      </w:r>
      <w:r>
        <w:rPr>
          <w:sz w:val="20"/>
        </w:rPr>
        <w:t>ilgilidir;</w:t>
      </w:r>
    </w:p>
    <w:p>
      <w:pPr>
        <w:pStyle w:val="BodyText"/>
        <w:spacing w:before="2"/>
        <w:rPr>
          <w:sz w:val="27"/>
        </w:rPr>
      </w:pPr>
    </w:p>
    <w:p>
      <w:pPr>
        <w:pStyle w:val="ListParagraph"/>
        <w:numPr>
          <w:ilvl w:val="0"/>
          <w:numId w:val="118"/>
        </w:numPr>
        <w:tabs>
          <w:tab w:pos="1029" w:val="left" w:leader="none"/>
        </w:tabs>
        <w:spacing w:line="276" w:lineRule="auto" w:before="1" w:after="0"/>
        <w:ind w:left="1022" w:right="697" w:hanging="296"/>
        <w:jc w:val="both"/>
        <w:rPr>
          <w:sz w:val="20"/>
        </w:rPr>
      </w:pPr>
      <w:r>
        <w:rPr>
          <w:sz w:val="20"/>
        </w:rPr>
        <w:t>ilgili denetim makamlarından hangisinin ana işletme açısından yetkin olduğuna ilişkin çelişkili görüşler bulunduğu hallerde;</w:t>
      </w:r>
    </w:p>
    <w:p>
      <w:pPr>
        <w:pStyle w:val="BodyText"/>
        <w:spacing w:before="3"/>
        <w:rPr>
          <w:sz w:val="24"/>
        </w:rPr>
      </w:pPr>
    </w:p>
    <w:p>
      <w:pPr>
        <w:pStyle w:val="ListParagraph"/>
        <w:numPr>
          <w:ilvl w:val="0"/>
          <w:numId w:val="118"/>
        </w:numPr>
        <w:tabs>
          <w:tab w:pos="1024" w:val="left" w:leader="none"/>
        </w:tabs>
        <w:spacing w:line="276" w:lineRule="auto" w:before="0" w:after="0"/>
        <w:ind w:left="1022" w:right="691" w:hanging="296"/>
        <w:jc w:val="both"/>
        <w:rPr>
          <w:sz w:val="20"/>
        </w:rPr>
      </w:pPr>
      <w:r>
        <w:rPr>
          <w:sz w:val="20"/>
        </w:rPr>
        <w:t>yetkin bir denetim makamının 64(1) maddesinde atıfta bulunulan durumlarda Kurul'un görüşünü talep etmediği veya 64. madde çerçevesinde sunulan Kurul görüşüne uygun hareket etmediği hallerde. Bu durumda, ilgili herhangi bir denetim makamı veya Komisyon bu hususu Kurul'a</w:t>
      </w:r>
      <w:r>
        <w:rPr>
          <w:spacing w:val="-16"/>
          <w:sz w:val="20"/>
        </w:rPr>
        <w:t> </w:t>
      </w:r>
      <w:r>
        <w:rPr>
          <w:sz w:val="20"/>
        </w:rPr>
        <w:t>iletebilir.</w:t>
      </w:r>
    </w:p>
    <w:p>
      <w:pPr>
        <w:pStyle w:val="BodyText"/>
        <w:spacing w:before="6"/>
        <w:rPr>
          <w:sz w:val="24"/>
        </w:rPr>
      </w:pPr>
    </w:p>
    <w:p>
      <w:pPr>
        <w:pStyle w:val="ListParagraph"/>
        <w:numPr>
          <w:ilvl w:val="0"/>
          <w:numId w:val="117"/>
        </w:numPr>
        <w:tabs>
          <w:tab w:pos="963" w:val="left" w:leader="none"/>
        </w:tabs>
        <w:spacing w:line="276" w:lineRule="auto" w:before="0" w:after="0"/>
        <w:ind w:left="726" w:right="700" w:firstLine="0"/>
        <w:jc w:val="both"/>
        <w:rPr>
          <w:sz w:val="20"/>
        </w:rPr>
      </w:pPr>
      <w:r>
        <w:rPr>
          <w:sz w:val="20"/>
        </w:rPr>
        <w:t>1. paragrafta atıfta bulunulan karar konunun sevkinden itibaren bir ay içerisinde Kurul üyelerinin üçte iki çoğunluğu ile alınır. Bu süre, konunun karmaşıklığı dikkate alınarak, bir ay daha uzatılabilir. 1. paragrafta atıfta bulunulan karar gerekçeli olur ve baş denetim makamı ilgili tüm denetim makamlarına iletilir ve onlar açısından</w:t>
      </w:r>
      <w:r>
        <w:rPr>
          <w:spacing w:val="0"/>
          <w:sz w:val="20"/>
        </w:rPr>
        <w:t> </w:t>
      </w:r>
      <w:r>
        <w:rPr>
          <w:sz w:val="20"/>
        </w:rPr>
        <w:t>bağlayıcıdır.</w:t>
      </w:r>
    </w:p>
    <w:p>
      <w:pPr>
        <w:pStyle w:val="BodyText"/>
        <w:rPr>
          <w:sz w:val="23"/>
        </w:rPr>
      </w:pPr>
    </w:p>
    <w:p>
      <w:pPr>
        <w:pStyle w:val="ListParagraph"/>
        <w:numPr>
          <w:ilvl w:val="0"/>
          <w:numId w:val="117"/>
        </w:numPr>
        <w:tabs>
          <w:tab w:pos="1015" w:val="left" w:leader="none"/>
        </w:tabs>
        <w:spacing w:line="276" w:lineRule="auto" w:before="1" w:after="0"/>
        <w:ind w:left="726" w:right="697" w:firstLine="0"/>
        <w:jc w:val="both"/>
        <w:rPr>
          <w:sz w:val="20"/>
        </w:rPr>
      </w:pPr>
      <w:r>
        <w:rPr>
          <w:sz w:val="20"/>
        </w:rPr>
        <w:t>Kurul’un 2. paragrafta atıfta bulunulan süreler içerisinde bir karar alamadığı hallerde, Kurul 2. paragrafta atıfta bulunulan ikinci ayın dolmasının ardından iki hafta içerisinde kararını Kurul üyelerinin salt</w:t>
      </w:r>
      <w:r>
        <w:rPr>
          <w:spacing w:val="-5"/>
          <w:sz w:val="20"/>
        </w:rPr>
        <w:t> </w:t>
      </w:r>
      <w:r>
        <w:rPr>
          <w:sz w:val="20"/>
        </w:rPr>
        <w:t>çoğunluğu</w:t>
      </w:r>
      <w:r>
        <w:rPr>
          <w:spacing w:val="-4"/>
          <w:sz w:val="20"/>
        </w:rPr>
        <w:t> </w:t>
      </w:r>
      <w:r>
        <w:rPr>
          <w:sz w:val="20"/>
        </w:rPr>
        <w:t>ile</w:t>
      </w:r>
      <w:r>
        <w:rPr>
          <w:spacing w:val="-4"/>
          <w:sz w:val="20"/>
        </w:rPr>
        <w:t> </w:t>
      </w:r>
      <w:r>
        <w:rPr>
          <w:sz w:val="20"/>
        </w:rPr>
        <w:t>alır.</w:t>
      </w:r>
      <w:r>
        <w:rPr>
          <w:spacing w:val="-4"/>
          <w:sz w:val="20"/>
        </w:rPr>
        <w:t> </w:t>
      </w:r>
      <w:r>
        <w:rPr>
          <w:sz w:val="20"/>
        </w:rPr>
        <w:t>Kurul</w:t>
      </w:r>
      <w:r>
        <w:rPr>
          <w:spacing w:val="-6"/>
          <w:sz w:val="20"/>
        </w:rPr>
        <w:t> </w:t>
      </w:r>
      <w:r>
        <w:rPr>
          <w:sz w:val="20"/>
        </w:rPr>
        <w:t>üyelerinin</w:t>
      </w:r>
      <w:r>
        <w:rPr>
          <w:spacing w:val="-4"/>
          <w:sz w:val="20"/>
        </w:rPr>
        <w:t> </w:t>
      </w:r>
      <w:r>
        <w:rPr>
          <w:sz w:val="20"/>
        </w:rPr>
        <w:t>oylarının</w:t>
      </w:r>
      <w:r>
        <w:rPr>
          <w:spacing w:val="-4"/>
          <w:sz w:val="20"/>
        </w:rPr>
        <w:t> </w:t>
      </w:r>
      <w:r>
        <w:rPr>
          <w:sz w:val="20"/>
        </w:rPr>
        <w:t>eşit</w:t>
      </w:r>
      <w:r>
        <w:rPr>
          <w:spacing w:val="-4"/>
          <w:sz w:val="20"/>
        </w:rPr>
        <w:t> </w:t>
      </w:r>
      <w:r>
        <w:rPr>
          <w:sz w:val="20"/>
        </w:rPr>
        <w:t>olması</w:t>
      </w:r>
      <w:r>
        <w:rPr>
          <w:spacing w:val="-5"/>
          <w:sz w:val="20"/>
        </w:rPr>
        <w:t> </w:t>
      </w:r>
      <w:r>
        <w:rPr>
          <w:sz w:val="20"/>
        </w:rPr>
        <w:t>halinde,</w:t>
      </w:r>
      <w:r>
        <w:rPr>
          <w:spacing w:val="-6"/>
          <w:sz w:val="20"/>
        </w:rPr>
        <w:t> </w:t>
      </w:r>
      <w:r>
        <w:rPr>
          <w:sz w:val="20"/>
        </w:rPr>
        <w:t>karar</w:t>
      </w:r>
      <w:r>
        <w:rPr>
          <w:spacing w:val="-4"/>
          <w:sz w:val="20"/>
        </w:rPr>
        <w:t> </w:t>
      </w:r>
      <w:r>
        <w:rPr>
          <w:sz w:val="20"/>
        </w:rPr>
        <w:t>Kurul</w:t>
      </w:r>
      <w:r>
        <w:rPr>
          <w:spacing w:val="-4"/>
          <w:sz w:val="20"/>
        </w:rPr>
        <w:t> </w:t>
      </w:r>
      <w:r>
        <w:rPr>
          <w:sz w:val="20"/>
        </w:rPr>
        <w:t>Başkanının</w:t>
      </w:r>
      <w:r>
        <w:rPr>
          <w:spacing w:val="-5"/>
          <w:sz w:val="20"/>
        </w:rPr>
        <w:t> </w:t>
      </w:r>
      <w:r>
        <w:rPr>
          <w:sz w:val="20"/>
        </w:rPr>
        <w:t>oyu</w:t>
      </w:r>
      <w:r>
        <w:rPr>
          <w:spacing w:val="-4"/>
          <w:sz w:val="20"/>
        </w:rPr>
        <w:t> </w:t>
      </w:r>
      <w:r>
        <w:rPr>
          <w:sz w:val="20"/>
        </w:rPr>
        <w:t>ile</w:t>
      </w:r>
      <w:r>
        <w:rPr>
          <w:spacing w:val="-4"/>
          <w:sz w:val="20"/>
        </w:rPr>
        <w:t> </w:t>
      </w:r>
      <w:r>
        <w:rPr>
          <w:sz w:val="20"/>
        </w:rPr>
        <w:t>alınır.</w:t>
      </w:r>
    </w:p>
    <w:p>
      <w:pPr>
        <w:pStyle w:val="BodyText"/>
        <w:rPr>
          <w:sz w:val="22"/>
        </w:rPr>
      </w:pPr>
    </w:p>
    <w:p>
      <w:pPr>
        <w:pStyle w:val="BodyText"/>
        <w:spacing w:before="2"/>
        <w:rPr>
          <w:sz w:val="25"/>
        </w:rPr>
      </w:pPr>
    </w:p>
    <w:p>
      <w:pPr>
        <w:pStyle w:val="ListParagraph"/>
        <w:numPr>
          <w:ilvl w:val="0"/>
          <w:numId w:val="117"/>
        </w:numPr>
        <w:tabs>
          <w:tab w:pos="1015" w:val="left" w:leader="none"/>
        </w:tabs>
        <w:spacing w:line="278" w:lineRule="auto" w:before="0" w:after="0"/>
        <w:ind w:left="726" w:right="699" w:firstLine="0"/>
        <w:jc w:val="both"/>
        <w:rPr>
          <w:sz w:val="20"/>
        </w:rPr>
      </w:pPr>
      <w:r>
        <w:rPr>
          <w:sz w:val="20"/>
        </w:rPr>
        <w:t>İlgili denetim makamları, 2 ve 3. paragraflarda atıfta bulunulan süreler esnasında, 1. paragraf kapsamında Kurul’a sunulan konu ile ilgili bir karar</w:t>
      </w:r>
      <w:r>
        <w:rPr>
          <w:spacing w:val="-10"/>
          <w:sz w:val="20"/>
        </w:rPr>
        <w:t> </w:t>
      </w:r>
      <w:r>
        <w:rPr>
          <w:sz w:val="20"/>
        </w:rPr>
        <w:t>alamaz.</w:t>
      </w:r>
    </w:p>
    <w:p>
      <w:pPr>
        <w:spacing w:after="0" w:line="278"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117"/>
        </w:numPr>
        <w:tabs>
          <w:tab w:pos="979" w:val="left" w:leader="none"/>
        </w:tabs>
        <w:spacing w:line="276" w:lineRule="auto" w:before="66" w:after="0"/>
        <w:ind w:left="726" w:right="697" w:firstLine="0"/>
        <w:jc w:val="both"/>
        <w:rPr>
          <w:sz w:val="20"/>
        </w:rPr>
      </w:pPr>
      <w:r>
        <w:rPr>
          <w:sz w:val="20"/>
        </w:rPr>
        <w:t>Kurul Başkanı, 1. paragrafta atıfta bulunulan kararı gereksiz bir gecikmeye mahal vermeksizin ilgili denetim</w:t>
      </w:r>
      <w:r>
        <w:rPr>
          <w:spacing w:val="10"/>
          <w:sz w:val="20"/>
        </w:rPr>
        <w:t> </w:t>
      </w:r>
      <w:r>
        <w:rPr>
          <w:sz w:val="20"/>
        </w:rPr>
        <w:t>makamlarına</w:t>
      </w:r>
      <w:r>
        <w:rPr>
          <w:spacing w:val="8"/>
          <w:sz w:val="20"/>
        </w:rPr>
        <w:t> </w:t>
      </w:r>
      <w:r>
        <w:rPr>
          <w:sz w:val="20"/>
        </w:rPr>
        <w:t>bildirir.</w:t>
      </w:r>
      <w:r>
        <w:rPr>
          <w:spacing w:val="10"/>
          <w:sz w:val="20"/>
        </w:rPr>
        <w:t> </w:t>
      </w:r>
      <w:r>
        <w:rPr>
          <w:sz w:val="20"/>
        </w:rPr>
        <w:t>Başkan</w:t>
      </w:r>
      <w:r>
        <w:rPr>
          <w:spacing w:val="8"/>
          <w:sz w:val="20"/>
        </w:rPr>
        <w:t> </w:t>
      </w:r>
      <w:r>
        <w:rPr>
          <w:sz w:val="20"/>
        </w:rPr>
        <w:t>karar</w:t>
      </w:r>
      <w:r>
        <w:rPr>
          <w:spacing w:val="10"/>
          <w:sz w:val="20"/>
        </w:rPr>
        <w:t> </w:t>
      </w:r>
      <w:r>
        <w:rPr>
          <w:sz w:val="20"/>
        </w:rPr>
        <w:t>hususunda</w:t>
      </w:r>
      <w:r>
        <w:rPr>
          <w:spacing w:val="8"/>
          <w:sz w:val="20"/>
        </w:rPr>
        <w:t> </w:t>
      </w:r>
      <w:r>
        <w:rPr>
          <w:sz w:val="20"/>
        </w:rPr>
        <w:t>Komisyon’u</w:t>
      </w:r>
      <w:r>
        <w:rPr>
          <w:spacing w:val="11"/>
          <w:sz w:val="20"/>
        </w:rPr>
        <w:t> </w:t>
      </w:r>
      <w:r>
        <w:rPr>
          <w:sz w:val="20"/>
        </w:rPr>
        <w:t>da</w:t>
      </w:r>
      <w:r>
        <w:rPr>
          <w:spacing w:val="8"/>
          <w:sz w:val="20"/>
        </w:rPr>
        <w:t> </w:t>
      </w:r>
      <w:r>
        <w:rPr>
          <w:sz w:val="20"/>
        </w:rPr>
        <w:t>bilgilendirir.</w:t>
      </w:r>
      <w:r>
        <w:rPr>
          <w:spacing w:val="10"/>
          <w:sz w:val="20"/>
        </w:rPr>
        <w:t> </w:t>
      </w:r>
      <w:r>
        <w:rPr>
          <w:sz w:val="20"/>
        </w:rPr>
        <w:t>Denetim</w:t>
      </w:r>
      <w:r>
        <w:rPr>
          <w:spacing w:val="10"/>
          <w:sz w:val="20"/>
        </w:rPr>
        <w:t> </w:t>
      </w:r>
      <w:r>
        <w:rPr>
          <w:sz w:val="20"/>
        </w:rPr>
        <w:t>makamının</w:t>
      </w:r>
    </w:p>
    <w:p>
      <w:pPr>
        <w:pStyle w:val="ListParagraph"/>
        <w:numPr>
          <w:ilvl w:val="0"/>
          <w:numId w:val="117"/>
        </w:numPr>
        <w:tabs>
          <w:tab w:pos="974" w:val="left" w:leader="none"/>
        </w:tabs>
        <w:spacing w:line="276" w:lineRule="auto" w:before="2" w:after="0"/>
        <w:ind w:left="726" w:right="688" w:firstLine="0"/>
        <w:jc w:val="both"/>
        <w:rPr>
          <w:sz w:val="20"/>
        </w:rPr>
      </w:pPr>
      <w:r>
        <w:rPr>
          <w:sz w:val="20"/>
        </w:rPr>
        <w:t>paragrafta atıfta bulunulan nihai kararı bildirmesinin ardından, karar gecikmeye mahal verilmeksizin Kurul’un web sitesinde</w:t>
      </w:r>
      <w:r>
        <w:rPr>
          <w:spacing w:val="1"/>
          <w:sz w:val="20"/>
        </w:rPr>
        <w:t> </w:t>
      </w:r>
      <w:r>
        <w:rPr>
          <w:sz w:val="20"/>
        </w:rPr>
        <w:t>yayımlanır.</w:t>
      </w:r>
    </w:p>
    <w:p>
      <w:pPr>
        <w:pStyle w:val="BodyText"/>
        <w:rPr>
          <w:sz w:val="22"/>
        </w:rPr>
      </w:pPr>
    </w:p>
    <w:p>
      <w:pPr>
        <w:pStyle w:val="BodyText"/>
        <w:spacing w:before="3"/>
        <w:rPr>
          <w:sz w:val="25"/>
        </w:rPr>
      </w:pPr>
    </w:p>
    <w:p>
      <w:pPr>
        <w:pStyle w:val="BodyText"/>
        <w:spacing w:line="276" w:lineRule="auto" w:before="1"/>
        <w:ind w:left="726" w:right="692"/>
        <w:jc w:val="both"/>
      </w:pPr>
      <w:r>
        <w:rPr/>
        <w:t>6. Baş denetim makamı veya, duruma göre, şikayetin yapıldığı denetim makamı, gereksiz bir gecikmeye mahal vermeksizin ve en geç Kurul’un kararını bildirmesinden sonra bir ay içerisinde, bu maddenin 1. paragrafında atıfta bulunulan karara dayalı olarak nihai kararını verir. Baş denetim makamı veya,  duruma göre, şikayetin yapıldığı denetim makamı, nihai kararının sırasıyla kontrolör veya işleyiciye ve veri sahibine bildirildiği tarih hususunda Kurul’u bilgilendirir. İlgili denetim makamlarının nihai kararı  60(7), (8) ve (9) maddelerinin koşulları çerçevesinde alınır. Nihai karar ile bu maddenin 1. paragrafında atıfta bulunulan karar kastedilir ve bu kararda söz konusu paragrafta atıfta bulunulan kararın bu maddenin 5. paragrafı uyarınca Kurul’un web sitesinde yayımlanacağı belirtilir. Bu maddenin 1. paragrafında atıfta bulunulan karar nihai karara</w:t>
      </w:r>
      <w:r>
        <w:rPr>
          <w:spacing w:val="-7"/>
        </w:rPr>
        <w:t> </w:t>
      </w:r>
      <w:r>
        <w:rPr/>
        <w:t>eklenir.</w:t>
      </w:r>
    </w:p>
    <w:p>
      <w:pPr>
        <w:pStyle w:val="BodyText"/>
        <w:rPr>
          <w:sz w:val="22"/>
        </w:rPr>
      </w:pPr>
    </w:p>
    <w:p>
      <w:pPr>
        <w:pStyle w:val="BodyText"/>
        <w:spacing w:before="5"/>
        <w:rPr>
          <w:sz w:val="25"/>
        </w:rPr>
      </w:pPr>
    </w:p>
    <w:p>
      <w:pPr>
        <w:pStyle w:val="BodyText"/>
        <w:spacing w:line="278" w:lineRule="auto"/>
        <w:ind w:left="5035" w:right="5053"/>
        <w:jc w:val="center"/>
      </w:pPr>
      <w:r>
        <w:rPr/>
        <w:t>Madde 66</w:t>
      </w:r>
    </w:p>
    <w:p>
      <w:pPr>
        <w:pStyle w:val="BodyText"/>
        <w:rPr>
          <w:sz w:val="22"/>
        </w:rPr>
      </w:pPr>
    </w:p>
    <w:p>
      <w:pPr>
        <w:pStyle w:val="BodyText"/>
        <w:spacing w:before="3"/>
        <w:rPr>
          <w:sz w:val="24"/>
        </w:rPr>
      </w:pPr>
    </w:p>
    <w:p>
      <w:pPr>
        <w:pStyle w:val="Heading1"/>
        <w:ind w:left="2205"/>
      </w:pPr>
      <w:r>
        <w:rPr/>
        <w:t>Aciliyet usulü</w:t>
      </w:r>
    </w:p>
    <w:p>
      <w:pPr>
        <w:pStyle w:val="BodyText"/>
        <w:rPr>
          <w:b/>
          <w:sz w:val="22"/>
        </w:rPr>
      </w:pPr>
    </w:p>
    <w:p>
      <w:pPr>
        <w:pStyle w:val="BodyText"/>
        <w:spacing w:before="6"/>
        <w:rPr>
          <w:b/>
          <w:sz w:val="27"/>
        </w:rPr>
      </w:pPr>
    </w:p>
    <w:p>
      <w:pPr>
        <w:pStyle w:val="ListParagraph"/>
        <w:numPr>
          <w:ilvl w:val="0"/>
          <w:numId w:val="119"/>
        </w:numPr>
        <w:tabs>
          <w:tab w:pos="1051" w:val="left" w:leader="none"/>
        </w:tabs>
        <w:spacing w:line="276" w:lineRule="auto" w:before="0" w:after="0"/>
        <w:ind w:left="726" w:right="688" w:firstLine="0"/>
        <w:jc w:val="both"/>
        <w:rPr>
          <w:sz w:val="20"/>
        </w:rPr>
      </w:pPr>
      <w:r>
        <w:rPr>
          <w:sz w:val="20"/>
        </w:rPr>
        <w:t>İstisnai durumlarda, ilgili bir denetim makamının veri sahiplerinin hakları ve özgürlüklerinin korunmasına yönelik olarak acil bir şekilde harekete geçilmesine ihtiyaç olduğunu değerlendirdiği hallerde, söz konusu denetim makamı, 63, 64 ve 65. maddelerde atıfta bulunulan tutarlılık mekanizmasından veya 60. maddede atıfta bulunulan usulden istisnaya gidilerek, kendi topraklarında üç ayı geçemeyecek belirli bir geçerlilik süresi boyunca hukuki sonuçlar doğurması amaçlanan geçici tedbirleri ivedilikle alabilir. Denetim makamı, bu tedbirleri ve tedbirlerin alınma sebeplerini, herhangi bir gecikmeye mahal vermeksizin diğer ilgili denetim makamlarına, Kurul’a ve Komisyon’a</w:t>
      </w:r>
      <w:r>
        <w:rPr>
          <w:spacing w:val="-19"/>
          <w:sz w:val="20"/>
        </w:rPr>
        <w:t> </w:t>
      </w:r>
      <w:r>
        <w:rPr>
          <w:sz w:val="20"/>
        </w:rPr>
        <w:t>iletir.</w:t>
      </w:r>
    </w:p>
    <w:p>
      <w:pPr>
        <w:pStyle w:val="BodyText"/>
        <w:rPr>
          <w:sz w:val="22"/>
        </w:rPr>
      </w:pPr>
    </w:p>
    <w:p>
      <w:pPr>
        <w:pStyle w:val="BodyText"/>
        <w:spacing w:before="1"/>
        <w:rPr>
          <w:sz w:val="25"/>
        </w:rPr>
      </w:pPr>
    </w:p>
    <w:p>
      <w:pPr>
        <w:pStyle w:val="ListParagraph"/>
        <w:numPr>
          <w:ilvl w:val="0"/>
          <w:numId w:val="119"/>
        </w:numPr>
        <w:tabs>
          <w:tab w:pos="963" w:val="left" w:leader="none"/>
        </w:tabs>
        <w:spacing w:line="276" w:lineRule="auto" w:before="0" w:after="0"/>
        <w:ind w:left="726" w:right="699" w:firstLine="0"/>
        <w:jc w:val="both"/>
        <w:rPr>
          <w:sz w:val="20"/>
        </w:rPr>
      </w:pPr>
      <w:r>
        <w:rPr>
          <w:sz w:val="20"/>
        </w:rPr>
        <w:t>Bir denetim makamının 1. paragraf uyarınca bir tedbir aldığı ve nihai tedbirlerin ivedilikle alınmasının gerektiğini değerlendirdiği hallerde, söz konusu denetim makamı, acil bir görüş veya acil bir bağlayıcı kararın talep edilmesine ilişkin sebepleri sunarak, Kurul’dan söz konusu görüşü veya kararı  talep edebilir.</w:t>
      </w:r>
    </w:p>
    <w:p>
      <w:pPr>
        <w:pStyle w:val="BodyText"/>
        <w:rPr>
          <w:sz w:val="22"/>
        </w:rPr>
      </w:pPr>
    </w:p>
    <w:p>
      <w:pPr>
        <w:pStyle w:val="BodyText"/>
        <w:spacing w:before="5"/>
        <w:rPr>
          <w:sz w:val="25"/>
        </w:rPr>
      </w:pPr>
    </w:p>
    <w:p>
      <w:pPr>
        <w:pStyle w:val="ListParagraph"/>
        <w:numPr>
          <w:ilvl w:val="0"/>
          <w:numId w:val="119"/>
        </w:numPr>
        <w:tabs>
          <w:tab w:pos="987" w:val="left" w:leader="none"/>
        </w:tabs>
        <w:spacing w:line="276" w:lineRule="auto" w:before="1" w:after="0"/>
        <w:ind w:left="726" w:right="689" w:firstLine="0"/>
        <w:jc w:val="both"/>
        <w:rPr>
          <w:sz w:val="20"/>
        </w:rPr>
      </w:pPr>
      <w:r>
        <w:rPr>
          <w:sz w:val="20"/>
        </w:rPr>
        <w:t>Yetkin bir denetim makamının veri sahiplerinin hak ve özgürlüklerinin korunmasına yönelik acil bir şekilde harekete geçilmesinin gerektiği bir durumda uygun bir tedbir almadığı hallerde, herhangi bir denetim makamı, acil harekete geçme ihtiyacı da dahil olmak üzere, duruma göre, acil bir görüş veya acil bir bağlayıcı kararın talep edilmesine ilişkin sebepleri sunarak, söz konusu görüşü veya kararı Kurul’dan talep</w:t>
      </w:r>
      <w:r>
        <w:rPr>
          <w:spacing w:val="-2"/>
          <w:sz w:val="20"/>
        </w:rPr>
        <w:t> </w:t>
      </w:r>
      <w:r>
        <w:rPr>
          <w:sz w:val="20"/>
        </w:rPr>
        <w:t>edebilir.</w:t>
      </w:r>
    </w:p>
    <w:p>
      <w:pPr>
        <w:pStyle w:val="BodyText"/>
        <w:rPr>
          <w:sz w:val="22"/>
        </w:rPr>
      </w:pPr>
    </w:p>
    <w:p>
      <w:pPr>
        <w:pStyle w:val="BodyText"/>
        <w:spacing w:before="4"/>
        <w:rPr>
          <w:sz w:val="25"/>
        </w:rPr>
      </w:pPr>
    </w:p>
    <w:p>
      <w:pPr>
        <w:pStyle w:val="ListParagraph"/>
        <w:numPr>
          <w:ilvl w:val="0"/>
          <w:numId w:val="119"/>
        </w:numPr>
        <w:tabs>
          <w:tab w:pos="1140" w:val="left" w:leader="none"/>
        </w:tabs>
        <w:spacing w:line="276" w:lineRule="auto" w:before="0" w:after="0"/>
        <w:ind w:left="726" w:right="702" w:firstLine="0"/>
        <w:jc w:val="both"/>
        <w:rPr>
          <w:sz w:val="20"/>
        </w:rPr>
      </w:pPr>
      <w:r>
        <w:rPr>
          <w:sz w:val="20"/>
        </w:rPr>
        <w:t>64(3) ve 65(2) maddesinden istisna edilerek, bu maddenin 2 ve 3. paragraflarında atıfta bulunulan acil</w:t>
      </w:r>
      <w:r>
        <w:rPr>
          <w:spacing w:val="-3"/>
          <w:sz w:val="20"/>
        </w:rPr>
        <w:t> </w:t>
      </w:r>
      <w:r>
        <w:rPr>
          <w:sz w:val="20"/>
        </w:rPr>
        <w:t>bir</w:t>
      </w:r>
      <w:r>
        <w:rPr>
          <w:spacing w:val="-3"/>
          <w:sz w:val="20"/>
        </w:rPr>
        <w:t> </w:t>
      </w:r>
      <w:r>
        <w:rPr>
          <w:sz w:val="20"/>
        </w:rPr>
        <w:t>görüş</w:t>
      </w:r>
      <w:r>
        <w:rPr>
          <w:spacing w:val="-3"/>
          <w:sz w:val="20"/>
        </w:rPr>
        <w:t> </w:t>
      </w:r>
      <w:r>
        <w:rPr>
          <w:sz w:val="20"/>
        </w:rPr>
        <w:t>veya</w:t>
      </w:r>
      <w:r>
        <w:rPr>
          <w:spacing w:val="-2"/>
          <w:sz w:val="20"/>
        </w:rPr>
        <w:t> </w:t>
      </w:r>
      <w:r>
        <w:rPr>
          <w:sz w:val="20"/>
        </w:rPr>
        <w:t>acil</w:t>
      </w:r>
      <w:r>
        <w:rPr>
          <w:spacing w:val="-5"/>
          <w:sz w:val="20"/>
        </w:rPr>
        <w:t> </w:t>
      </w:r>
      <w:r>
        <w:rPr>
          <w:sz w:val="20"/>
        </w:rPr>
        <w:t>bir</w:t>
      </w:r>
      <w:r>
        <w:rPr>
          <w:spacing w:val="-3"/>
          <w:sz w:val="20"/>
        </w:rPr>
        <w:t> </w:t>
      </w:r>
      <w:r>
        <w:rPr>
          <w:sz w:val="20"/>
        </w:rPr>
        <w:t>bağlayıcı</w:t>
      </w:r>
      <w:r>
        <w:rPr>
          <w:spacing w:val="-4"/>
          <w:sz w:val="20"/>
        </w:rPr>
        <w:t> </w:t>
      </w:r>
      <w:r>
        <w:rPr>
          <w:sz w:val="20"/>
        </w:rPr>
        <w:t>karar</w:t>
      </w:r>
      <w:r>
        <w:rPr>
          <w:spacing w:val="-3"/>
          <w:sz w:val="20"/>
        </w:rPr>
        <w:t> </w:t>
      </w:r>
      <w:r>
        <w:rPr>
          <w:sz w:val="20"/>
        </w:rPr>
        <w:t>Kurul</w:t>
      </w:r>
      <w:r>
        <w:rPr>
          <w:spacing w:val="-5"/>
          <w:sz w:val="20"/>
        </w:rPr>
        <w:t> </w:t>
      </w:r>
      <w:r>
        <w:rPr>
          <w:sz w:val="20"/>
        </w:rPr>
        <w:t>üyelerinin</w:t>
      </w:r>
      <w:r>
        <w:rPr>
          <w:spacing w:val="-4"/>
          <w:sz w:val="20"/>
        </w:rPr>
        <w:t> </w:t>
      </w:r>
      <w:r>
        <w:rPr>
          <w:sz w:val="20"/>
        </w:rPr>
        <w:t>salt</w:t>
      </w:r>
      <w:r>
        <w:rPr>
          <w:spacing w:val="-4"/>
          <w:sz w:val="20"/>
        </w:rPr>
        <w:t> </w:t>
      </w:r>
      <w:r>
        <w:rPr>
          <w:sz w:val="20"/>
        </w:rPr>
        <w:t>çoğunluğuyla</w:t>
      </w:r>
      <w:r>
        <w:rPr>
          <w:spacing w:val="-2"/>
          <w:sz w:val="20"/>
        </w:rPr>
        <w:t> </w:t>
      </w:r>
      <w:r>
        <w:rPr>
          <w:sz w:val="20"/>
        </w:rPr>
        <w:t>iki</w:t>
      </w:r>
      <w:r>
        <w:rPr>
          <w:spacing w:val="-5"/>
          <w:sz w:val="20"/>
        </w:rPr>
        <w:t> </w:t>
      </w:r>
      <w:r>
        <w:rPr>
          <w:sz w:val="20"/>
        </w:rPr>
        <w:t>hafta</w:t>
      </w:r>
      <w:r>
        <w:rPr>
          <w:spacing w:val="-4"/>
          <w:sz w:val="20"/>
        </w:rPr>
        <w:t> </w:t>
      </w:r>
      <w:r>
        <w:rPr>
          <w:sz w:val="20"/>
        </w:rPr>
        <w:t>içerisinde</w:t>
      </w:r>
      <w:r>
        <w:rPr>
          <w:spacing w:val="-4"/>
          <w:sz w:val="20"/>
        </w:rPr>
        <w:t> </w:t>
      </w:r>
      <w:r>
        <w:rPr>
          <w:sz w:val="20"/>
        </w:rPr>
        <w:t>alınır.</w:t>
      </w:r>
    </w:p>
    <w:p>
      <w:pPr>
        <w:pStyle w:val="BodyText"/>
        <w:rPr>
          <w:sz w:val="22"/>
        </w:rPr>
      </w:pPr>
    </w:p>
    <w:p>
      <w:pPr>
        <w:pStyle w:val="BodyText"/>
        <w:spacing w:before="2"/>
        <w:rPr>
          <w:sz w:val="27"/>
        </w:rPr>
      </w:pPr>
    </w:p>
    <w:p>
      <w:pPr>
        <w:pStyle w:val="BodyText"/>
        <w:spacing w:line="276" w:lineRule="auto"/>
        <w:ind w:left="5035" w:right="5053"/>
        <w:jc w:val="center"/>
      </w:pPr>
      <w:r>
        <w:rPr/>
        <w:t>Madde 67</w:t>
      </w:r>
    </w:p>
    <w:p>
      <w:pPr>
        <w:pStyle w:val="BodyText"/>
        <w:spacing w:before="1"/>
        <w:rPr>
          <w:sz w:val="23"/>
        </w:rPr>
      </w:pPr>
    </w:p>
    <w:p>
      <w:pPr>
        <w:pStyle w:val="Heading1"/>
        <w:ind w:right="2226"/>
      </w:pPr>
      <w:r>
        <w:rPr/>
        <w:t>Bilgi alışverişi</w:t>
      </w:r>
    </w:p>
    <w:p>
      <w:pPr>
        <w:pStyle w:val="BodyText"/>
        <w:spacing w:before="9"/>
        <w:rPr>
          <w:b/>
          <w:sz w:val="27"/>
        </w:rPr>
      </w:pPr>
    </w:p>
    <w:p>
      <w:pPr>
        <w:pStyle w:val="BodyText"/>
        <w:spacing w:line="278" w:lineRule="auto" w:before="1"/>
        <w:ind w:left="726" w:right="697"/>
        <w:jc w:val="both"/>
      </w:pPr>
      <w:r>
        <w:rPr/>
        <w:t>Komisyon, 64. maddede atıfta bulunulan standart format başta olmak üzere, denetim makamları arasında ve denetim makamları ile Kurul arasında elektronik yollarla bilgi alışverişine</w:t>
      </w:r>
      <w:r>
        <w:rPr>
          <w:spacing w:val="-15"/>
        </w:rPr>
        <w:t> </w:t>
      </w:r>
      <w:r>
        <w:rPr/>
        <w:t>ilişkin</w:t>
      </w:r>
    </w:p>
    <w:p>
      <w:pPr>
        <w:spacing w:after="0" w:line="278" w:lineRule="auto"/>
        <w:jc w:val="both"/>
        <w:sectPr>
          <w:pgSz w:w="11930" w:h="16850"/>
          <w:pgMar w:header="961" w:footer="0" w:top="1240" w:bottom="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before="66"/>
        <w:ind w:left="726"/>
        <w:jc w:val="both"/>
      </w:pPr>
      <w:r>
        <w:rPr/>
        <w:t>düzenlemeleri belirtmek üzere genel kapsamlı uygulama tasarrufları kabul edebilir.</w:t>
      </w:r>
    </w:p>
    <w:p>
      <w:pPr>
        <w:pStyle w:val="BodyText"/>
        <w:spacing w:before="2"/>
        <w:rPr>
          <w:sz w:val="26"/>
        </w:rPr>
      </w:pPr>
    </w:p>
    <w:p>
      <w:pPr>
        <w:pStyle w:val="BodyText"/>
        <w:ind w:left="726"/>
        <w:jc w:val="both"/>
      </w:pPr>
      <w:r>
        <w:rPr/>
        <w:t>Bu uygulama tasarrufları 93(2) maddesinde atıfta bulunulan inceleme usulü uyarınca kabul edilir.</w:t>
      </w:r>
    </w:p>
    <w:p>
      <w:pPr>
        <w:pStyle w:val="BodyText"/>
        <w:spacing w:before="11"/>
        <w:rPr>
          <w:sz w:val="26"/>
        </w:rPr>
      </w:pPr>
    </w:p>
    <w:p>
      <w:pPr>
        <w:pStyle w:val="BodyText"/>
        <w:ind w:left="2207" w:right="2222"/>
        <w:jc w:val="center"/>
      </w:pPr>
      <w:r>
        <w:rPr/>
        <w:t>Kesim 3</w:t>
      </w:r>
    </w:p>
    <w:p>
      <w:pPr>
        <w:pStyle w:val="BodyText"/>
        <w:spacing w:before="1"/>
        <w:rPr>
          <w:sz w:val="26"/>
        </w:rPr>
      </w:pPr>
    </w:p>
    <w:p>
      <w:pPr>
        <w:pStyle w:val="Heading1"/>
        <w:spacing w:before="1"/>
        <w:ind w:right="2208"/>
      </w:pPr>
      <w:r>
        <w:rPr/>
        <w:t>Avrupa veri koruma kurulu</w:t>
      </w:r>
    </w:p>
    <w:p>
      <w:pPr>
        <w:pStyle w:val="BodyText"/>
        <w:spacing w:before="6"/>
        <w:rPr>
          <w:b/>
          <w:sz w:val="26"/>
        </w:rPr>
      </w:pPr>
    </w:p>
    <w:p>
      <w:pPr>
        <w:pStyle w:val="BodyText"/>
        <w:spacing w:line="276" w:lineRule="auto"/>
        <w:ind w:left="5035" w:right="5053"/>
        <w:jc w:val="center"/>
      </w:pPr>
      <w:r>
        <w:rPr/>
        <w:t>Madde 68</w:t>
      </w:r>
    </w:p>
    <w:p>
      <w:pPr>
        <w:pStyle w:val="BodyText"/>
        <w:spacing w:before="1"/>
        <w:rPr>
          <w:sz w:val="23"/>
        </w:rPr>
      </w:pPr>
    </w:p>
    <w:p>
      <w:pPr>
        <w:pStyle w:val="Heading1"/>
        <w:ind w:left="2206"/>
      </w:pPr>
      <w:r>
        <w:rPr/>
        <w:t>Avrupa Veri Koruma Kurulu</w:t>
      </w:r>
    </w:p>
    <w:p>
      <w:pPr>
        <w:pStyle w:val="BodyText"/>
        <w:spacing w:before="9"/>
        <w:rPr>
          <w:b/>
          <w:sz w:val="27"/>
        </w:rPr>
      </w:pPr>
    </w:p>
    <w:p>
      <w:pPr>
        <w:pStyle w:val="ListParagraph"/>
        <w:numPr>
          <w:ilvl w:val="0"/>
          <w:numId w:val="120"/>
        </w:numPr>
        <w:tabs>
          <w:tab w:pos="948" w:val="left" w:leader="none"/>
        </w:tabs>
        <w:spacing w:line="240" w:lineRule="auto" w:before="1" w:after="0"/>
        <w:ind w:left="726" w:right="0" w:firstLine="0"/>
        <w:jc w:val="left"/>
        <w:rPr>
          <w:sz w:val="20"/>
        </w:rPr>
      </w:pPr>
      <w:r>
        <w:rPr>
          <w:sz w:val="20"/>
        </w:rPr>
        <w:t>Avrupa Veri Koruma Kurulu (’Kurul’) bu Tüzük’le bir Birlik organı olarak kurulur ve tüzel kişiliğe</w:t>
      </w:r>
      <w:r>
        <w:rPr>
          <w:spacing w:val="-38"/>
          <w:sz w:val="20"/>
        </w:rPr>
        <w:t> </w:t>
      </w:r>
      <w:r>
        <w:rPr>
          <w:sz w:val="20"/>
        </w:rPr>
        <w:t>sahiptir.</w:t>
      </w:r>
    </w:p>
    <w:p>
      <w:pPr>
        <w:pStyle w:val="BodyText"/>
        <w:spacing w:before="10"/>
        <w:rPr>
          <w:sz w:val="26"/>
        </w:rPr>
      </w:pPr>
    </w:p>
    <w:p>
      <w:pPr>
        <w:pStyle w:val="ListParagraph"/>
        <w:numPr>
          <w:ilvl w:val="0"/>
          <w:numId w:val="120"/>
        </w:numPr>
        <w:tabs>
          <w:tab w:pos="948" w:val="left" w:leader="none"/>
        </w:tabs>
        <w:spacing w:line="240" w:lineRule="auto" w:before="1" w:after="0"/>
        <w:ind w:left="726" w:right="0" w:firstLine="0"/>
        <w:jc w:val="left"/>
        <w:rPr>
          <w:sz w:val="20"/>
        </w:rPr>
      </w:pPr>
      <w:r>
        <w:rPr>
          <w:sz w:val="20"/>
        </w:rPr>
        <w:t>Kurul, Başkanı tarafından temsil</w:t>
      </w:r>
      <w:r>
        <w:rPr>
          <w:spacing w:val="-23"/>
          <w:sz w:val="20"/>
        </w:rPr>
        <w:t> </w:t>
      </w:r>
      <w:r>
        <w:rPr>
          <w:sz w:val="20"/>
        </w:rPr>
        <w:t>edilir.</w:t>
      </w:r>
    </w:p>
    <w:p>
      <w:pPr>
        <w:pStyle w:val="BodyText"/>
        <w:spacing w:before="3"/>
        <w:rPr>
          <w:sz w:val="26"/>
        </w:rPr>
      </w:pPr>
    </w:p>
    <w:p>
      <w:pPr>
        <w:pStyle w:val="ListParagraph"/>
        <w:numPr>
          <w:ilvl w:val="0"/>
          <w:numId w:val="120"/>
        </w:numPr>
        <w:tabs>
          <w:tab w:pos="960" w:val="left" w:leader="none"/>
        </w:tabs>
        <w:spacing w:line="276" w:lineRule="auto" w:before="0" w:after="0"/>
        <w:ind w:left="726" w:right="693" w:firstLine="0"/>
        <w:jc w:val="both"/>
        <w:rPr>
          <w:sz w:val="20"/>
        </w:rPr>
      </w:pPr>
      <w:r>
        <w:rPr>
          <w:sz w:val="20"/>
        </w:rPr>
        <w:t>Kurul her üye devletin bir denetim makamı başkanı ile Avrupa Veri Koruma Denetmeni veya bunların ilgili temsilcilerinden meydana</w:t>
      </w:r>
      <w:r>
        <w:rPr>
          <w:spacing w:val="-3"/>
          <w:sz w:val="20"/>
        </w:rPr>
        <w:t> </w:t>
      </w:r>
      <w:r>
        <w:rPr>
          <w:sz w:val="20"/>
        </w:rPr>
        <w:t>gelir.</w:t>
      </w:r>
    </w:p>
    <w:p>
      <w:pPr>
        <w:pStyle w:val="BodyText"/>
        <w:rPr>
          <w:sz w:val="22"/>
        </w:rPr>
      </w:pPr>
    </w:p>
    <w:p>
      <w:pPr>
        <w:pStyle w:val="BodyText"/>
        <w:spacing w:before="6"/>
        <w:rPr>
          <w:sz w:val="25"/>
        </w:rPr>
      </w:pPr>
    </w:p>
    <w:p>
      <w:pPr>
        <w:pStyle w:val="ListParagraph"/>
        <w:numPr>
          <w:ilvl w:val="0"/>
          <w:numId w:val="120"/>
        </w:numPr>
        <w:tabs>
          <w:tab w:pos="996" w:val="left" w:leader="none"/>
        </w:tabs>
        <w:spacing w:line="276" w:lineRule="auto" w:before="0" w:after="0"/>
        <w:ind w:left="726" w:right="693" w:firstLine="0"/>
        <w:jc w:val="both"/>
        <w:rPr>
          <w:sz w:val="20"/>
        </w:rPr>
      </w:pPr>
      <w:r>
        <w:rPr>
          <w:sz w:val="20"/>
        </w:rPr>
        <w:t>Bir üye devlette birden fazla denetim makamının bu Tüzük uyarınca hükümlerin uygulanmasının izlenmesinden sorumlu olduğu hallerde, söz konusu üye devletin hukuku uyarınca bir ortak temsilci tayin edilir.</w:t>
      </w:r>
    </w:p>
    <w:p>
      <w:pPr>
        <w:pStyle w:val="BodyText"/>
        <w:spacing w:before="1"/>
        <w:rPr>
          <w:sz w:val="24"/>
        </w:rPr>
      </w:pPr>
    </w:p>
    <w:p>
      <w:pPr>
        <w:pStyle w:val="ListParagraph"/>
        <w:numPr>
          <w:ilvl w:val="0"/>
          <w:numId w:val="120"/>
        </w:numPr>
        <w:tabs>
          <w:tab w:pos="1032" w:val="left" w:leader="none"/>
        </w:tabs>
        <w:spacing w:line="276" w:lineRule="auto" w:before="1" w:after="0"/>
        <w:ind w:left="726" w:right="699" w:firstLine="0"/>
        <w:jc w:val="both"/>
        <w:rPr>
          <w:sz w:val="20"/>
        </w:rPr>
      </w:pPr>
      <w:r>
        <w:rPr>
          <w:sz w:val="20"/>
        </w:rPr>
        <w:t>Komisyonun Kurul’un faaliyetleri ve toplantılarına oy hakkı olmaksızın katılma hakkı bulunur. Komisyon bir temsilci tayin eder. Kurul Başkanı Kurul’un faaliyetlerini Komisyon’a</w:t>
      </w:r>
      <w:r>
        <w:rPr>
          <w:spacing w:val="-19"/>
          <w:sz w:val="20"/>
        </w:rPr>
        <w:t> </w:t>
      </w:r>
      <w:r>
        <w:rPr>
          <w:sz w:val="20"/>
        </w:rPr>
        <w:t>iletir.</w:t>
      </w:r>
    </w:p>
    <w:p>
      <w:pPr>
        <w:pStyle w:val="BodyText"/>
        <w:spacing w:before="10"/>
        <w:rPr>
          <w:sz w:val="23"/>
        </w:rPr>
      </w:pPr>
    </w:p>
    <w:p>
      <w:pPr>
        <w:pStyle w:val="ListParagraph"/>
        <w:numPr>
          <w:ilvl w:val="0"/>
          <w:numId w:val="120"/>
        </w:numPr>
        <w:tabs>
          <w:tab w:pos="1140" w:val="left" w:leader="none"/>
        </w:tabs>
        <w:spacing w:line="276" w:lineRule="auto" w:before="0" w:after="0"/>
        <w:ind w:left="726" w:right="696" w:firstLine="0"/>
        <w:jc w:val="both"/>
        <w:rPr>
          <w:sz w:val="20"/>
        </w:rPr>
      </w:pPr>
      <w:r>
        <w:rPr>
          <w:sz w:val="20"/>
        </w:rPr>
        <w:t>65. maddede atıfta bulunulan hallerde, Avrupa Veri Koruma Denetmeni’nin yalnızca Birlik kurumları, organları, ofisleri ve ajanslarına uygulanan ilkeler ve kurallar ile ilgili olan ve esasen bu Tüzük’ün ilkeleri ve kurallarına tekabül eden kararlarda oy hakkı</w:t>
      </w:r>
      <w:r>
        <w:rPr>
          <w:spacing w:val="-8"/>
          <w:sz w:val="20"/>
        </w:rPr>
        <w:t> </w:t>
      </w:r>
      <w:r>
        <w:rPr>
          <w:sz w:val="20"/>
        </w:rPr>
        <w:t>bulunur.</w:t>
      </w:r>
    </w:p>
    <w:p>
      <w:pPr>
        <w:pStyle w:val="BodyText"/>
        <w:spacing w:before="1"/>
        <w:rPr>
          <w:sz w:val="23"/>
        </w:rPr>
      </w:pPr>
    </w:p>
    <w:p>
      <w:pPr>
        <w:pStyle w:val="BodyText"/>
        <w:spacing w:line="276" w:lineRule="auto"/>
        <w:ind w:left="5035" w:right="5053"/>
        <w:jc w:val="center"/>
      </w:pPr>
      <w:r>
        <w:rPr/>
        <w:t>Madde 69</w:t>
      </w:r>
    </w:p>
    <w:p>
      <w:pPr>
        <w:pStyle w:val="BodyText"/>
        <w:rPr>
          <w:sz w:val="23"/>
        </w:rPr>
      </w:pPr>
    </w:p>
    <w:p>
      <w:pPr>
        <w:pStyle w:val="Heading1"/>
        <w:spacing w:before="1"/>
        <w:ind w:left="2205"/>
      </w:pPr>
      <w:r>
        <w:rPr/>
        <w:t>Bağımsızlık</w:t>
      </w:r>
    </w:p>
    <w:p>
      <w:pPr>
        <w:pStyle w:val="BodyText"/>
        <w:spacing w:before="9"/>
        <w:rPr>
          <w:b/>
          <w:sz w:val="27"/>
        </w:rPr>
      </w:pPr>
    </w:p>
    <w:p>
      <w:pPr>
        <w:pStyle w:val="ListParagraph"/>
        <w:numPr>
          <w:ilvl w:val="0"/>
          <w:numId w:val="121"/>
        </w:numPr>
        <w:tabs>
          <w:tab w:pos="963" w:val="left" w:leader="none"/>
        </w:tabs>
        <w:spacing w:line="276" w:lineRule="auto" w:before="0" w:after="0"/>
        <w:ind w:left="726" w:right="699" w:firstLine="0"/>
        <w:jc w:val="both"/>
        <w:rPr>
          <w:sz w:val="20"/>
        </w:rPr>
      </w:pPr>
      <w:r>
        <w:rPr>
          <w:sz w:val="20"/>
        </w:rPr>
        <w:t>Kurul, 70. ve 71. maddeler uyarınca görevlerini yerine getirirken veya yetkilerini kullanırken bağımsız bir şekilde hareket</w:t>
      </w:r>
      <w:r>
        <w:rPr>
          <w:spacing w:val="-3"/>
          <w:sz w:val="20"/>
        </w:rPr>
        <w:t> </w:t>
      </w:r>
      <w:r>
        <w:rPr>
          <w:sz w:val="20"/>
        </w:rPr>
        <w:t>eder.</w:t>
      </w:r>
    </w:p>
    <w:p>
      <w:pPr>
        <w:pStyle w:val="BodyText"/>
        <w:spacing w:before="11"/>
        <w:rPr>
          <w:sz w:val="23"/>
        </w:rPr>
      </w:pPr>
    </w:p>
    <w:p>
      <w:pPr>
        <w:pStyle w:val="ListParagraph"/>
        <w:numPr>
          <w:ilvl w:val="0"/>
          <w:numId w:val="121"/>
        </w:numPr>
        <w:tabs>
          <w:tab w:pos="958" w:val="left" w:leader="none"/>
        </w:tabs>
        <w:spacing w:line="276" w:lineRule="auto" w:before="0" w:after="0"/>
        <w:ind w:left="726" w:right="696" w:firstLine="0"/>
        <w:jc w:val="both"/>
        <w:rPr>
          <w:sz w:val="20"/>
        </w:rPr>
      </w:pPr>
      <w:r>
        <w:rPr>
          <w:sz w:val="20"/>
        </w:rPr>
        <w:t>Komisyon tarafından yapılan ve 70(1) maddesinin (b) bendinde ve 70(2) maddesinde atıfta bulunulan taleplere halel gelmeksizin, Kurul, görevlerini yerine getirirken veya yetkilerini kullanırken, hiç kimseden talimat talebinde bulunmaz ve talimat</w:t>
      </w:r>
      <w:r>
        <w:rPr>
          <w:spacing w:val="-5"/>
          <w:sz w:val="20"/>
        </w:rPr>
        <w:t> </w:t>
      </w:r>
      <w:r>
        <w:rPr>
          <w:sz w:val="20"/>
        </w:rPr>
        <w:t>almaz.</w:t>
      </w:r>
    </w:p>
    <w:p>
      <w:pPr>
        <w:pStyle w:val="BodyText"/>
        <w:rPr>
          <w:sz w:val="22"/>
        </w:rPr>
      </w:pPr>
    </w:p>
    <w:p>
      <w:pPr>
        <w:pStyle w:val="BodyText"/>
        <w:rPr>
          <w:sz w:val="24"/>
        </w:rPr>
      </w:pPr>
    </w:p>
    <w:p>
      <w:pPr>
        <w:pStyle w:val="BodyText"/>
        <w:spacing w:line="276" w:lineRule="auto"/>
        <w:ind w:left="5035" w:right="5053"/>
        <w:jc w:val="center"/>
      </w:pPr>
      <w:r>
        <w:rPr/>
        <w:t>Madde 70</w:t>
      </w:r>
    </w:p>
    <w:p>
      <w:pPr>
        <w:pStyle w:val="BodyText"/>
        <w:spacing w:before="1"/>
        <w:rPr>
          <w:sz w:val="23"/>
        </w:rPr>
      </w:pPr>
    </w:p>
    <w:p>
      <w:pPr>
        <w:pStyle w:val="Heading1"/>
        <w:spacing w:line="278" w:lineRule="auto"/>
        <w:ind w:left="4918" w:right="4938" w:firstLine="1"/>
      </w:pPr>
      <w:r>
        <w:rPr/>
        <w:t>Kurul’un </w:t>
      </w:r>
      <w:r>
        <w:rPr>
          <w:w w:val="95"/>
        </w:rPr>
        <w:t>görevleri</w:t>
      </w:r>
    </w:p>
    <w:p>
      <w:pPr>
        <w:pStyle w:val="BodyText"/>
        <w:spacing w:before="4"/>
        <w:rPr>
          <w:b/>
          <w:sz w:val="24"/>
        </w:rPr>
      </w:pPr>
    </w:p>
    <w:p>
      <w:pPr>
        <w:pStyle w:val="ListParagraph"/>
        <w:numPr>
          <w:ilvl w:val="0"/>
          <w:numId w:val="122"/>
        </w:numPr>
        <w:tabs>
          <w:tab w:pos="960" w:val="left" w:leader="none"/>
        </w:tabs>
        <w:spacing w:line="278" w:lineRule="auto" w:before="0" w:after="0"/>
        <w:ind w:left="726" w:right="695" w:firstLine="0"/>
        <w:jc w:val="both"/>
        <w:rPr>
          <w:sz w:val="20"/>
        </w:rPr>
      </w:pPr>
      <w:r>
        <w:rPr>
          <w:sz w:val="20"/>
        </w:rPr>
        <w:t>Kurul bu Tüzük’ün tutarlı bir şekilde uygulanmasını sağlar. Bu amaçla, Kurul, kendi inisiyatifiyle veya, yerinde olduğu hallerde, Komisyon’un talebi üzerine,</w:t>
      </w:r>
      <w:r>
        <w:rPr>
          <w:spacing w:val="-6"/>
          <w:sz w:val="20"/>
        </w:rPr>
        <w:t> </w:t>
      </w:r>
      <w:r>
        <w:rPr>
          <w:sz w:val="20"/>
        </w:rPr>
        <w:t>özellikle:</w:t>
      </w:r>
    </w:p>
    <w:p>
      <w:pPr>
        <w:pStyle w:val="BodyText"/>
        <w:spacing w:before="1"/>
        <w:rPr>
          <w:sz w:val="23"/>
        </w:rPr>
      </w:pPr>
    </w:p>
    <w:p>
      <w:pPr>
        <w:pStyle w:val="ListParagraph"/>
        <w:numPr>
          <w:ilvl w:val="0"/>
          <w:numId w:val="123"/>
        </w:numPr>
        <w:tabs>
          <w:tab w:pos="1029" w:val="left" w:leader="none"/>
        </w:tabs>
        <w:spacing w:line="276" w:lineRule="auto" w:before="1" w:after="0"/>
        <w:ind w:left="1079" w:right="742" w:hanging="350"/>
        <w:jc w:val="left"/>
        <w:rPr>
          <w:sz w:val="20"/>
        </w:rPr>
      </w:pPr>
      <w:r>
        <w:rPr>
          <w:sz w:val="20"/>
        </w:rPr>
        <w:t>ulusal</w:t>
      </w:r>
      <w:r>
        <w:rPr>
          <w:spacing w:val="-8"/>
          <w:sz w:val="20"/>
        </w:rPr>
        <w:t> </w:t>
      </w:r>
      <w:r>
        <w:rPr>
          <w:sz w:val="20"/>
        </w:rPr>
        <w:t>denetim</w:t>
      </w:r>
      <w:r>
        <w:rPr>
          <w:spacing w:val="-5"/>
          <w:sz w:val="20"/>
        </w:rPr>
        <w:t> </w:t>
      </w:r>
      <w:r>
        <w:rPr>
          <w:sz w:val="20"/>
        </w:rPr>
        <w:t>makamlarının</w:t>
      </w:r>
      <w:r>
        <w:rPr>
          <w:spacing w:val="-5"/>
          <w:sz w:val="20"/>
        </w:rPr>
        <w:t> </w:t>
      </w:r>
      <w:r>
        <w:rPr>
          <w:sz w:val="20"/>
        </w:rPr>
        <w:t>görevlerine</w:t>
      </w:r>
      <w:r>
        <w:rPr>
          <w:spacing w:val="-7"/>
          <w:sz w:val="20"/>
        </w:rPr>
        <w:t> </w:t>
      </w:r>
      <w:r>
        <w:rPr>
          <w:sz w:val="20"/>
        </w:rPr>
        <w:t>halel</w:t>
      </w:r>
      <w:r>
        <w:rPr>
          <w:spacing w:val="-8"/>
          <w:sz w:val="20"/>
        </w:rPr>
        <w:t> </w:t>
      </w:r>
      <w:r>
        <w:rPr>
          <w:sz w:val="20"/>
        </w:rPr>
        <w:t>gelmeksizin,</w:t>
      </w:r>
      <w:r>
        <w:rPr>
          <w:spacing w:val="-5"/>
          <w:sz w:val="20"/>
        </w:rPr>
        <w:t> </w:t>
      </w:r>
      <w:r>
        <w:rPr>
          <w:sz w:val="20"/>
        </w:rPr>
        <w:t>64</w:t>
      </w:r>
      <w:r>
        <w:rPr>
          <w:spacing w:val="-6"/>
          <w:sz w:val="20"/>
        </w:rPr>
        <w:t> </w:t>
      </w:r>
      <w:r>
        <w:rPr>
          <w:sz w:val="20"/>
        </w:rPr>
        <w:t>ve</w:t>
      </w:r>
      <w:r>
        <w:rPr>
          <w:spacing w:val="-5"/>
          <w:sz w:val="20"/>
        </w:rPr>
        <w:t> </w:t>
      </w:r>
      <w:r>
        <w:rPr>
          <w:sz w:val="20"/>
        </w:rPr>
        <w:t>65.</w:t>
      </w:r>
      <w:r>
        <w:rPr>
          <w:spacing w:val="-5"/>
          <w:sz w:val="20"/>
        </w:rPr>
        <w:t> </w:t>
      </w:r>
      <w:r>
        <w:rPr>
          <w:sz w:val="20"/>
        </w:rPr>
        <w:t>maddelerde</w:t>
      </w:r>
      <w:r>
        <w:rPr>
          <w:spacing w:val="-7"/>
          <w:sz w:val="20"/>
        </w:rPr>
        <w:t> </w:t>
      </w:r>
      <w:r>
        <w:rPr>
          <w:sz w:val="20"/>
        </w:rPr>
        <w:t>öngörülen</w:t>
      </w:r>
      <w:r>
        <w:rPr>
          <w:spacing w:val="-7"/>
          <w:sz w:val="20"/>
        </w:rPr>
        <w:t> </w:t>
      </w:r>
      <w:r>
        <w:rPr>
          <w:sz w:val="20"/>
        </w:rPr>
        <w:t>hallerde bu Tüzük’ün doğru bir şekilde uygulanmasını izler ve</w:t>
      </w:r>
      <w:r>
        <w:rPr>
          <w:spacing w:val="-3"/>
          <w:sz w:val="20"/>
        </w:rPr>
        <w:t> </w:t>
      </w:r>
      <w:r>
        <w:rPr>
          <w:sz w:val="20"/>
        </w:rPr>
        <w:t>sağlar;</w:t>
      </w:r>
    </w:p>
    <w:p>
      <w:pPr>
        <w:spacing w:after="0" w:line="276" w:lineRule="auto"/>
        <w:jc w:val="left"/>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123"/>
        </w:numPr>
        <w:tabs>
          <w:tab w:pos="1065" w:val="left" w:leader="none"/>
        </w:tabs>
        <w:spacing w:line="278" w:lineRule="auto" w:before="114" w:after="0"/>
        <w:ind w:left="1079" w:right="698" w:hanging="350"/>
        <w:jc w:val="both"/>
        <w:rPr>
          <w:sz w:val="20"/>
        </w:rPr>
      </w:pPr>
      <w:r>
        <w:rPr>
          <w:sz w:val="20"/>
        </w:rPr>
        <w:t>bu Tüzük’te değişiklik yapılmasına ilişkin herhangi bir öneri de dahil olmak üzere Birlik içerisinde kişisel verilerin korunmasıyla ilgili her türlü hususta Komisyona tavsiyede</w:t>
      </w:r>
      <w:r>
        <w:rPr>
          <w:spacing w:val="-16"/>
          <w:sz w:val="20"/>
        </w:rPr>
        <w:t> </w:t>
      </w:r>
      <w:r>
        <w:rPr>
          <w:sz w:val="20"/>
        </w:rPr>
        <w:t>bulunur;</w:t>
      </w:r>
    </w:p>
    <w:p>
      <w:pPr>
        <w:pStyle w:val="BodyText"/>
        <w:rPr>
          <w:sz w:val="22"/>
        </w:rPr>
      </w:pPr>
    </w:p>
    <w:p>
      <w:pPr>
        <w:pStyle w:val="BodyText"/>
        <w:spacing w:before="10"/>
        <w:rPr>
          <w:sz w:val="23"/>
        </w:rPr>
      </w:pPr>
    </w:p>
    <w:p>
      <w:pPr>
        <w:pStyle w:val="ListParagraph"/>
        <w:numPr>
          <w:ilvl w:val="0"/>
          <w:numId w:val="123"/>
        </w:numPr>
        <w:tabs>
          <w:tab w:pos="1070" w:val="left" w:leader="none"/>
        </w:tabs>
        <w:spacing w:line="276" w:lineRule="auto" w:before="0" w:after="0"/>
        <w:ind w:left="1079" w:right="695" w:hanging="350"/>
        <w:jc w:val="both"/>
        <w:rPr>
          <w:sz w:val="20"/>
        </w:rPr>
      </w:pPr>
      <w:r>
        <w:rPr>
          <w:sz w:val="20"/>
        </w:rPr>
        <w:t>kontrolörler, işleyiciler ve denetim makamları arasında bağlayıcı kurumsal kurallara yönelik bilgi alışverişine ilişkin format ve usuller hususunda Komisyon’a tavsiyede</w:t>
      </w:r>
      <w:r>
        <w:rPr>
          <w:spacing w:val="-17"/>
          <w:sz w:val="20"/>
        </w:rPr>
        <w:t> </w:t>
      </w:r>
      <w:r>
        <w:rPr>
          <w:sz w:val="20"/>
        </w:rPr>
        <w:t>bulunur;</w:t>
      </w:r>
    </w:p>
    <w:p>
      <w:pPr>
        <w:pStyle w:val="BodyText"/>
        <w:rPr>
          <w:sz w:val="22"/>
        </w:rPr>
      </w:pPr>
    </w:p>
    <w:p>
      <w:pPr>
        <w:pStyle w:val="BodyText"/>
        <w:spacing w:before="1"/>
        <w:rPr>
          <w:sz w:val="24"/>
        </w:rPr>
      </w:pPr>
    </w:p>
    <w:p>
      <w:pPr>
        <w:pStyle w:val="ListParagraph"/>
        <w:numPr>
          <w:ilvl w:val="0"/>
          <w:numId w:val="123"/>
        </w:numPr>
        <w:tabs>
          <w:tab w:pos="1065" w:val="left" w:leader="none"/>
        </w:tabs>
        <w:spacing w:line="276" w:lineRule="auto" w:before="0" w:after="0"/>
        <w:ind w:left="1079" w:right="701" w:hanging="350"/>
        <w:jc w:val="both"/>
        <w:rPr>
          <w:sz w:val="20"/>
        </w:rPr>
      </w:pPr>
      <w:r>
        <w:rPr>
          <w:sz w:val="20"/>
        </w:rPr>
        <w:t>kişisel verilerin linkleri, nüshaları veya kopyalarının 17(2) maddesinde atıfta bulunulan halka açık iletişim hizmetlerinden silinmesiyle ilgili usullere yönelik kılavuzlar, tavsiyeler ve en iyi uygulamaları yayınlar;</w:t>
      </w:r>
    </w:p>
    <w:p>
      <w:pPr>
        <w:pStyle w:val="BodyText"/>
        <w:spacing w:before="1"/>
        <w:rPr>
          <w:sz w:val="23"/>
        </w:rPr>
      </w:pPr>
    </w:p>
    <w:p>
      <w:pPr>
        <w:pStyle w:val="ListParagraph"/>
        <w:numPr>
          <w:ilvl w:val="0"/>
          <w:numId w:val="123"/>
        </w:numPr>
        <w:tabs>
          <w:tab w:pos="1087" w:val="left" w:leader="none"/>
        </w:tabs>
        <w:spacing w:line="276" w:lineRule="auto" w:before="0" w:after="0"/>
        <w:ind w:left="1079" w:right="693" w:hanging="350"/>
        <w:jc w:val="both"/>
        <w:rPr>
          <w:sz w:val="20"/>
        </w:rPr>
      </w:pPr>
      <w:r>
        <w:rPr>
          <w:sz w:val="20"/>
        </w:rPr>
        <w:t>kendi inisiyatifiyle veya üyelerinden birinin talebi üzerine ya da Komisyonun talebi üzerine, bu Tüzük’ün uygulanmasına ilişkin her türlü konuyu inceler ve bu Tüzük’ün tutarlı bir şekilde uygulanmasını teşvik etmek üzere kılavuzlar, tavsiyeler ve en iyi uygulamaları</w:t>
      </w:r>
      <w:r>
        <w:rPr>
          <w:spacing w:val="-15"/>
          <w:sz w:val="20"/>
        </w:rPr>
        <w:t> </w:t>
      </w:r>
      <w:r>
        <w:rPr>
          <w:sz w:val="20"/>
        </w:rPr>
        <w:t>yayınlar;</w:t>
      </w:r>
    </w:p>
    <w:p>
      <w:pPr>
        <w:pStyle w:val="BodyText"/>
        <w:rPr>
          <w:sz w:val="23"/>
        </w:rPr>
      </w:pPr>
    </w:p>
    <w:p>
      <w:pPr>
        <w:pStyle w:val="ListParagraph"/>
        <w:numPr>
          <w:ilvl w:val="0"/>
          <w:numId w:val="123"/>
        </w:numPr>
        <w:tabs>
          <w:tab w:pos="1005" w:val="left" w:leader="none"/>
        </w:tabs>
        <w:spacing w:line="276" w:lineRule="auto" w:before="1" w:after="0"/>
        <w:ind w:left="1079" w:right="695" w:hanging="350"/>
        <w:jc w:val="both"/>
        <w:rPr>
          <w:sz w:val="20"/>
        </w:rPr>
      </w:pPr>
      <w:r>
        <w:rPr>
          <w:sz w:val="20"/>
        </w:rPr>
        <w:t>22(2) madde uyarınca profil çıkarmaya dayalı kararlara yönelik kriterler ve koşulların daha ayrıntılı olarak belirtilmesi için bu paragrafın (e) bendi uyarınca kılavuzlar, tavsiyeler ve en iyi uygulamaları yayınlar;</w:t>
      </w:r>
    </w:p>
    <w:p>
      <w:pPr>
        <w:pStyle w:val="BodyText"/>
        <w:spacing w:before="9"/>
        <w:rPr>
          <w:sz w:val="22"/>
        </w:rPr>
      </w:pPr>
    </w:p>
    <w:p>
      <w:pPr>
        <w:pStyle w:val="ListParagraph"/>
        <w:numPr>
          <w:ilvl w:val="0"/>
          <w:numId w:val="123"/>
        </w:numPr>
        <w:tabs>
          <w:tab w:pos="1101" w:val="left" w:leader="none"/>
        </w:tabs>
        <w:spacing w:line="276" w:lineRule="auto" w:before="0" w:after="0"/>
        <w:ind w:left="1079" w:right="694" w:hanging="350"/>
        <w:jc w:val="both"/>
        <w:rPr>
          <w:sz w:val="20"/>
        </w:rPr>
      </w:pPr>
      <w:r>
        <w:rPr>
          <w:sz w:val="20"/>
        </w:rPr>
        <w:t>kişisel veri ihlallerinin tespit edilmesi ve 33(1) ve (2) maddelerinde atıfta bulunulan gereksiz gecikmenin belirlenmesine yönelik olarak ve bir kontrolör ve bir işleyicinin kişisel veri ihlali  hususunda bildirimde bulunmasının gerekli olduğu özel durumlar açısından, bu paragrafın (e) bendi uyarınca kılavuzlar, tavsiyeler ve en iyi uygulamaları</w:t>
      </w:r>
      <w:r>
        <w:rPr>
          <w:spacing w:val="-5"/>
          <w:sz w:val="20"/>
        </w:rPr>
        <w:t> </w:t>
      </w:r>
      <w:r>
        <w:rPr>
          <w:sz w:val="20"/>
        </w:rPr>
        <w:t>yayınlar;</w:t>
      </w:r>
    </w:p>
    <w:p>
      <w:pPr>
        <w:pStyle w:val="BodyText"/>
        <w:rPr>
          <w:sz w:val="22"/>
        </w:rPr>
      </w:pPr>
    </w:p>
    <w:p>
      <w:pPr>
        <w:pStyle w:val="BodyText"/>
        <w:spacing w:before="5"/>
        <w:rPr>
          <w:sz w:val="24"/>
        </w:rPr>
      </w:pPr>
    </w:p>
    <w:p>
      <w:pPr>
        <w:pStyle w:val="ListParagraph"/>
        <w:numPr>
          <w:ilvl w:val="0"/>
          <w:numId w:val="123"/>
        </w:numPr>
        <w:tabs>
          <w:tab w:pos="1075" w:val="left" w:leader="none"/>
        </w:tabs>
        <w:spacing w:line="276" w:lineRule="auto" w:before="0" w:after="0"/>
        <w:ind w:left="1079" w:right="696" w:hanging="350"/>
        <w:jc w:val="both"/>
        <w:rPr>
          <w:sz w:val="20"/>
        </w:rPr>
      </w:pPr>
      <w:r>
        <w:rPr>
          <w:sz w:val="20"/>
        </w:rPr>
        <w:t>bir kişisel veri ihlalinin 34(1) maddesinde atıfta bulunulan gerçek kişilerin hakları ve özgürlükleri açısından yüksek bir risk teşkil etmesinin muhtemel olduğu haller ile ilgili olarak, bu paragrafın (e) bendi uyarınca kılavuzlar, tavsiyeler ve en iyi uygulamaları</w:t>
      </w:r>
      <w:r>
        <w:rPr>
          <w:spacing w:val="-5"/>
          <w:sz w:val="20"/>
        </w:rPr>
        <w:t> </w:t>
      </w:r>
      <w:r>
        <w:rPr>
          <w:sz w:val="20"/>
        </w:rPr>
        <w:t>yayınlar;</w:t>
      </w:r>
    </w:p>
    <w:p>
      <w:pPr>
        <w:pStyle w:val="BodyText"/>
        <w:rPr>
          <w:sz w:val="22"/>
        </w:rPr>
      </w:pPr>
    </w:p>
    <w:p>
      <w:pPr>
        <w:pStyle w:val="BodyText"/>
        <w:rPr>
          <w:sz w:val="24"/>
        </w:rPr>
      </w:pPr>
    </w:p>
    <w:p>
      <w:pPr>
        <w:pStyle w:val="ListParagraph"/>
        <w:numPr>
          <w:ilvl w:val="0"/>
          <w:numId w:val="123"/>
        </w:numPr>
        <w:tabs>
          <w:tab w:pos="1000" w:val="left" w:leader="none"/>
        </w:tabs>
        <w:spacing w:line="276" w:lineRule="auto" w:before="0" w:after="0"/>
        <w:ind w:left="1079" w:right="690" w:hanging="350"/>
        <w:jc w:val="both"/>
        <w:rPr>
          <w:sz w:val="20"/>
        </w:rPr>
      </w:pPr>
      <w:r>
        <w:rPr>
          <w:sz w:val="20"/>
        </w:rPr>
        <w:t>kontrolörler tarafından uyulan bağlayıcı kurumsal kurallar ve işleyiciler tarafından uyulan bağlayıcı kurumsal kurallara ve 47. maddede atıfta bulunulan ilgili veri sahiplerinin kişisel verilerinin korunmasının sağlanmasına ilişkin ek gerekliliklere dayalı olarak gerçekleştirilen kişisel veri aktarımlarına yönelik kriterler ve gereksinimlerin daha ayrıntılı olarak belirtilmesi amacıyla, bu paragrafın (e) bendi uyarınca kılavuzlar, tavsiyeler ve en iyi uygulamaları</w:t>
      </w:r>
      <w:r>
        <w:rPr>
          <w:spacing w:val="-14"/>
          <w:sz w:val="20"/>
        </w:rPr>
        <w:t> </w:t>
      </w:r>
      <w:r>
        <w:rPr>
          <w:sz w:val="20"/>
        </w:rPr>
        <w:t>yayınlar;</w:t>
      </w:r>
    </w:p>
    <w:p>
      <w:pPr>
        <w:pStyle w:val="BodyText"/>
        <w:rPr>
          <w:sz w:val="22"/>
        </w:rPr>
      </w:pPr>
    </w:p>
    <w:p>
      <w:pPr>
        <w:pStyle w:val="BodyText"/>
        <w:spacing w:before="2"/>
        <w:rPr>
          <w:sz w:val="24"/>
        </w:rPr>
      </w:pPr>
    </w:p>
    <w:p>
      <w:pPr>
        <w:pStyle w:val="ListParagraph"/>
        <w:numPr>
          <w:ilvl w:val="0"/>
          <w:numId w:val="123"/>
        </w:numPr>
        <w:tabs>
          <w:tab w:pos="1065" w:val="left" w:leader="none"/>
        </w:tabs>
        <w:spacing w:line="276" w:lineRule="auto" w:before="0" w:after="0"/>
        <w:ind w:left="1079" w:right="692" w:hanging="350"/>
        <w:jc w:val="both"/>
        <w:rPr>
          <w:sz w:val="20"/>
        </w:rPr>
      </w:pPr>
      <w:r>
        <w:rPr>
          <w:sz w:val="20"/>
        </w:rPr>
        <w:t>49(1) maddesine dayalı olarak gerçekleştirilen kişisel veri aktarımlarına yönelik kriterler ve gerekliliklerin daha ayrıntılı olarak belirtilmesi amacıyla, bu paragrafın (e) bendi uyarınca kılavuzlar, tavsiyeler ve en iyi uygulamaları</w:t>
      </w:r>
      <w:r>
        <w:rPr>
          <w:spacing w:val="5"/>
          <w:sz w:val="20"/>
        </w:rPr>
        <w:t> </w:t>
      </w:r>
      <w:r>
        <w:rPr>
          <w:sz w:val="20"/>
        </w:rPr>
        <w:t>yayınlar;</w:t>
      </w:r>
    </w:p>
    <w:p>
      <w:pPr>
        <w:pStyle w:val="BodyText"/>
        <w:rPr>
          <w:sz w:val="22"/>
        </w:rPr>
      </w:pPr>
    </w:p>
    <w:p>
      <w:pPr>
        <w:pStyle w:val="BodyText"/>
        <w:spacing w:before="2"/>
        <w:rPr>
          <w:sz w:val="24"/>
        </w:rPr>
      </w:pPr>
    </w:p>
    <w:p>
      <w:pPr>
        <w:pStyle w:val="ListParagraph"/>
        <w:numPr>
          <w:ilvl w:val="0"/>
          <w:numId w:val="123"/>
        </w:numPr>
        <w:tabs>
          <w:tab w:pos="1039" w:val="left" w:leader="none"/>
        </w:tabs>
        <w:spacing w:line="276" w:lineRule="auto" w:before="0" w:after="0"/>
        <w:ind w:left="1079" w:right="691" w:hanging="350"/>
        <w:jc w:val="both"/>
        <w:rPr>
          <w:sz w:val="20"/>
        </w:rPr>
      </w:pPr>
      <w:r>
        <w:rPr>
          <w:sz w:val="20"/>
        </w:rPr>
        <w:t>58(1), (2) ve (3) maddelerinde atıfta bulunulan tedbirlerin uygulanması ve 83. madde uyarınca idari para cezalarının belirlenmesi ile ilgili olarak denetim makamlarına yönelik kılavuzlar</w:t>
      </w:r>
      <w:r>
        <w:rPr>
          <w:spacing w:val="-28"/>
          <w:sz w:val="20"/>
        </w:rPr>
        <w:t> </w:t>
      </w:r>
      <w:r>
        <w:rPr>
          <w:sz w:val="20"/>
        </w:rPr>
        <w:t>hazırlar;</w:t>
      </w:r>
    </w:p>
    <w:p>
      <w:pPr>
        <w:pStyle w:val="BodyText"/>
        <w:spacing w:before="11"/>
        <w:rPr>
          <w:sz w:val="23"/>
        </w:rPr>
      </w:pPr>
    </w:p>
    <w:p>
      <w:pPr>
        <w:pStyle w:val="ListParagraph"/>
        <w:numPr>
          <w:ilvl w:val="0"/>
          <w:numId w:val="123"/>
        </w:numPr>
        <w:tabs>
          <w:tab w:pos="960" w:val="left" w:leader="none"/>
        </w:tabs>
        <w:spacing w:line="276" w:lineRule="auto" w:before="0" w:after="0"/>
        <w:ind w:left="726" w:right="497" w:firstLine="0"/>
        <w:jc w:val="left"/>
        <w:rPr>
          <w:sz w:val="20"/>
        </w:rPr>
      </w:pPr>
      <w:r>
        <w:rPr>
          <w:sz w:val="20"/>
        </w:rPr>
        <w:t>(e) ve (f) bentlerinde atıfta bulunulan kılavuzlar, tavsiyeler ve en iyi uygulamaların pratikte uygulanmasını gözden geçirir;</w:t>
      </w:r>
    </w:p>
    <w:p>
      <w:pPr>
        <w:pStyle w:val="BodyText"/>
        <w:rPr>
          <w:sz w:val="22"/>
        </w:rPr>
      </w:pPr>
    </w:p>
    <w:p>
      <w:pPr>
        <w:pStyle w:val="BodyText"/>
        <w:spacing w:before="8"/>
        <w:rPr>
          <w:sz w:val="24"/>
        </w:rPr>
      </w:pPr>
    </w:p>
    <w:p>
      <w:pPr>
        <w:pStyle w:val="ListParagraph"/>
        <w:numPr>
          <w:ilvl w:val="0"/>
          <w:numId w:val="123"/>
        </w:numPr>
        <w:tabs>
          <w:tab w:pos="1089" w:val="left" w:leader="none"/>
        </w:tabs>
        <w:spacing w:line="276" w:lineRule="auto" w:before="0" w:after="0"/>
        <w:ind w:left="1079" w:right="701" w:hanging="350"/>
        <w:jc w:val="both"/>
        <w:rPr>
          <w:sz w:val="20"/>
        </w:rPr>
      </w:pPr>
      <w:r>
        <w:rPr>
          <w:sz w:val="20"/>
        </w:rPr>
        <w:t>54(2) madde uyarınca bu Tüzük’e ilişkin ihlallerin gerçek kişiler tarafından bildirilmesine yönelik ortak usullerin oluşturulması hususunda, bu paragrafın (e) bendi uyarınca kılavuzlar, tavsiyeler ve en iyi uygulamaları</w:t>
      </w:r>
      <w:r>
        <w:rPr>
          <w:spacing w:val="0"/>
          <w:sz w:val="20"/>
        </w:rPr>
        <w:t> </w:t>
      </w:r>
      <w:r>
        <w:rPr>
          <w:sz w:val="20"/>
        </w:rPr>
        <w:t>yayınlar;</w:t>
      </w:r>
    </w:p>
    <w:p>
      <w:pPr>
        <w:pStyle w:val="BodyText"/>
        <w:rPr>
          <w:sz w:val="22"/>
        </w:rPr>
      </w:pPr>
    </w:p>
    <w:p>
      <w:pPr>
        <w:pStyle w:val="BodyText"/>
        <w:rPr>
          <w:sz w:val="24"/>
        </w:rPr>
      </w:pPr>
    </w:p>
    <w:p>
      <w:pPr>
        <w:pStyle w:val="ListParagraph"/>
        <w:numPr>
          <w:ilvl w:val="0"/>
          <w:numId w:val="123"/>
        </w:numPr>
        <w:tabs>
          <w:tab w:pos="1075" w:val="left" w:leader="none"/>
        </w:tabs>
        <w:spacing w:line="278" w:lineRule="auto" w:before="0" w:after="0"/>
        <w:ind w:left="1079" w:right="696" w:hanging="350"/>
        <w:jc w:val="both"/>
        <w:rPr>
          <w:sz w:val="20"/>
        </w:rPr>
      </w:pPr>
      <w:r>
        <w:rPr>
          <w:sz w:val="20"/>
        </w:rPr>
        <w:t>40 ve 42. maddeler uyarınca davranış kurallarının hazırlanmasını ve veri koruma belgelendirme mekanizmaları ve veri koruma mühürleri ile işaretlerinin oluşturulmasını teşvik</w:t>
      </w:r>
      <w:r>
        <w:rPr>
          <w:spacing w:val="-14"/>
          <w:sz w:val="20"/>
        </w:rPr>
        <w:t> </w:t>
      </w:r>
      <w:r>
        <w:rPr>
          <w:sz w:val="20"/>
        </w:rPr>
        <w:t>eder;</w:t>
      </w:r>
    </w:p>
    <w:p>
      <w:pPr>
        <w:spacing w:after="0" w:line="278"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before="8"/>
      </w:pPr>
    </w:p>
    <w:p>
      <w:pPr>
        <w:pStyle w:val="ListParagraph"/>
        <w:numPr>
          <w:ilvl w:val="0"/>
          <w:numId w:val="123"/>
        </w:numPr>
        <w:tabs>
          <w:tab w:pos="1096" w:val="left" w:leader="none"/>
        </w:tabs>
        <w:spacing w:line="276" w:lineRule="auto" w:before="93" w:after="0"/>
        <w:ind w:left="1079" w:right="692" w:hanging="350"/>
        <w:jc w:val="both"/>
        <w:rPr>
          <w:sz w:val="20"/>
        </w:rPr>
      </w:pPr>
      <w:r>
        <w:rPr>
          <w:sz w:val="20"/>
        </w:rPr>
        <w:t>43. madde uyarınca belgelendirme organlarının akreditasyonunu ve düzenli aralıklarla gözden geçirilmesini gerçekleştirir ve 43(6) maddesi uyarınca akredite organların ve 42(7) maddesi uyarınca üçüncü ülkelerde kurulu bulunan akredite kontrolörler veya işleyicilerin halka açık bir sicilini</w:t>
      </w:r>
      <w:r>
        <w:rPr>
          <w:spacing w:val="-40"/>
          <w:sz w:val="20"/>
        </w:rPr>
        <w:t> </w:t>
      </w:r>
      <w:r>
        <w:rPr>
          <w:sz w:val="20"/>
        </w:rPr>
        <w:t>tutar;</w:t>
      </w:r>
    </w:p>
    <w:p>
      <w:pPr>
        <w:pStyle w:val="BodyText"/>
        <w:spacing w:before="10"/>
        <w:rPr>
          <w:sz w:val="23"/>
        </w:rPr>
      </w:pPr>
    </w:p>
    <w:p>
      <w:pPr>
        <w:pStyle w:val="ListParagraph"/>
        <w:numPr>
          <w:ilvl w:val="0"/>
          <w:numId w:val="123"/>
        </w:numPr>
        <w:tabs>
          <w:tab w:pos="1027" w:val="left" w:leader="none"/>
        </w:tabs>
        <w:spacing w:line="278" w:lineRule="auto" w:before="0" w:after="0"/>
        <w:ind w:left="726" w:right="183" w:firstLine="0"/>
        <w:jc w:val="left"/>
        <w:rPr>
          <w:sz w:val="20"/>
        </w:rPr>
      </w:pPr>
      <w:r>
        <w:rPr>
          <w:sz w:val="20"/>
        </w:rPr>
        <w:t>42. madde kapsamında belgelendirme organlarının akreditasyonuna yönelik olarak 43(3) maddesinde atıfta bulunulan gereklilikleri</w:t>
      </w:r>
      <w:r>
        <w:rPr>
          <w:spacing w:val="-1"/>
          <w:sz w:val="20"/>
        </w:rPr>
        <w:t> </w:t>
      </w:r>
      <w:r>
        <w:rPr>
          <w:sz w:val="20"/>
        </w:rPr>
        <w:t>belirtir.</w:t>
      </w:r>
    </w:p>
    <w:p>
      <w:pPr>
        <w:pStyle w:val="BodyText"/>
        <w:rPr>
          <w:sz w:val="22"/>
        </w:rPr>
      </w:pPr>
    </w:p>
    <w:p>
      <w:pPr>
        <w:pStyle w:val="BodyText"/>
        <w:rPr>
          <w:sz w:val="24"/>
        </w:rPr>
      </w:pPr>
    </w:p>
    <w:p>
      <w:pPr>
        <w:pStyle w:val="ListParagraph"/>
        <w:numPr>
          <w:ilvl w:val="0"/>
          <w:numId w:val="123"/>
        </w:numPr>
        <w:tabs>
          <w:tab w:pos="1027" w:val="left" w:leader="none"/>
        </w:tabs>
        <w:spacing w:line="240" w:lineRule="auto" w:before="0" w:after="0"/>
        <w:ind w:left="1026" w:right="0" w:hanging="300"/>
        <w:jc w:val="left"/>
        <w:rPr>
          <w:sz w:val="20"/>
        </w:rPr>
      </w:pPr>
      <w:r>
        <w:rPr>
          <w:sz w:val="20"/>
        </w:rPr>
        <w:t>43(8) maddesinde atıfta bulunulan belgelendirme gerekliliklerine ilişkin bir görüşü Komisyon’a</w:t>
      </w:r>
      <w:r>
        <w:rPr>
          <w:spacing w:val="-34"/>
          <w:sz w:val="20"/>
        </w:rPr>
        <w:t> </w:t>
      </w:r>
      <w:r>
        <w:rPr>
          <w:sz w:val="20"/>
        </w:rPr>
        <w:t>sağlar;</w:t>
      </w:r>
    </w:p>
    <w:p>
      <w:pPr>
        <w:pStyle w:val="ListParagraph"/>
        <w:numPr>
          <w:ilvl w:val="0"/>
          <w:numId w:val="123"/>
        </w:numPr>
        <w:tabs>
          <w:tab w:pos="984" w:val="left" w:leader="none"/>
        </w:tabs>
        <w:spacing w:line="240" w:lineRule="auto" w:before="35" w:after="0"/>
        <w:ind w:left="983" w:right="0" w:hanging="257"/>
        <w:jc w:val="left"/>
        <w:rPr>
          <w:sz w:val="20"/>
        </w:rPr>
      </w:pPr>
      <w:r>
        <w:rPr>
          <w:sz w:val="20"/>
        </w:rPr>
        <w:t>12(7) maddesinde atıfta bulunulan simgelere ilişkin bir görüşü Komisyon’a</w:t>
      </w:r>
      <w:r>
        <w:rPr>
          <w:spacing w:val="-9"/>
          <w:sz w:val="20"/>
        </w:rPr>
        <w:t> </w:t>
      </w:r>
      <w:r>
        <w:rPr>
          <w:sz w:val="20"/>
        </w:rPr>
        <w:t>sağlar;</w:t>
      </w:r>
    </w:p>
    <w:p>
      <w:pPr>
        <w:pStyle w:val="BodyText"/>
        <w:spacing w:before="10"/>
        <w:rPr>
          <w:sz w:val="25"/>
        </w:rPr>
      </w:pPr>
    </w:p>
    <w:p>
      <w:pPr>
        <w:pStyle w:val="ListParagraph"/>
        <w:numPr>
          <w:ilvl w:val="0"/>
          <w:numId w:val="123"/>
        </w:numPr>
        <w:tabs>
          <w:tab w:pos="1026" w:val="left" w:leader="none"/>
        </w:tabs>
        <w:spacing w:line="276" w:lineRule="auto" w:before="0" w:after="0"/>
        <w:ind w:left="808" w:right="392" w:hanging="79"/>
        <w:jc w:val="both"/>
        <w:rPr>
          <w:sz w:val="20"/>
        </w:rPr>
      </w:pPr>
      <w:r>
        <w:rPr>
          <w:sz w:val="20"/>
        </w:rPr>
        <w:t>bir üçüncü ülke, söz konusu üçüncü ülke içerisindeki bir bölge ya da belirtilen bir veya daha fazla sayıda sektörün veya uluslararası bir kuruluşun artık yeterli bir koruma düzeyi sağlayıp sağlamadığına ilişkin değerlendirme de dahil olmak üzere bir üçüncü ülke veya uluslararası kuruluştaki koruma düzeyinin yeterliliğinin değerlendirilmesine ilişkin bir görüşü Komisyon’a sağlar. Bu amaçla, Komisyon üçüncü ülkenin hükümeti ile yapılan yazışmalar da dahil olmak üzere söz konusu üçüncü ülke, bölge veya sektör ya da uluslararası kuruluşla ilgili gerekli tüm belgeleri Kurul’a</w:t>
      </w:r>
      <w:r>
        <w:rPr>
          <w:spacing w:val="-4"/>
          <w:sz w:val="20"/>
        </w:rPr>
        <w:t> </w:t>
      </w:r>
      <w:r>
        <w:rPr>
          <w:sz w:val="20"/>
        </w:rPr>
        <w:t>sağlar.</w:t>
      </w:r>
    </w:p>
    <w:p>
      <w:pPr>
        <w:pStyle w:val="BodyText"/>
        <w:spacing w:before="4"/>
        <w:rPr>
          <w:sz w:val="27"/>
        </w:rPr>
      </w:pPr>
    </w:p>
    <w:p>
      <w:pPr>
        <w:pStyle w:val="ListParagraph"/>
        <w:numPr>
          <w:ilvl w:val="0"/>
          <w:numId w:val="123"/>
        </w:numPr>
        <w:tabs>
          <w:tab w:pos="1036" w:val="left" w:leader="none"/>
        </w:tabs>
        <w:spacing w:line="276" w:lineRule="auto" w:before="0" w:after="0"/>
        <w:ind w:left="1079" w:right="698" w:hanging="350"/>
        <w:jc w:val="left"/>
        <w:rPr>
          <w:sz w:val="20"/>
        </w:rPr>
      </w:pPr>
      <w:r>
        <w:rPr>
          <w:sz w:val="20"/>
        </w:rPr>
        <w:t>denetim makamlarının 64(1) maddesinde atıfta bulunulan tutarlılık mekanizması uyarınca 64(2) maddesi</w:t>
      </w:r>
      <w:r>
        <w:rPr>
          <w:spacing w:val="8"/>
          <w:sz w:val="20"/>
        </w:rPr>
        <w:t> </w:t>
      </w:r>
      <w:r>
        <w:rPr>
          <w:sz w:val="20"/>
        </w:rPr>
        <w:t>uyarınca</w:t>
      </w:r>
      <w:r>
        <w:rPr>
          <w:spacing w:val="8"/>
          <w:sz w:val="20"/>
        </w:rPr>
        <w:t> </w:t>
      </w:r>
      <w:r>
        <w:rPr>
          <w:sz w:val="20"/>
        </w:rPr>
        <w:t>sunulan</w:t>
      </w:r>
      <w:r>
        <w:rPr>
          <w:spacing w:val="10"/>
          <w:sz w:val="20"/>
        </w:rPr>
        <w:t> </w:t>
      </w:r>
      <w:r>
        <w:rPr>
          <w:sz w:val="20"/>
        </w:rPr>
        <w:t>konulara</w:t>
      </w:r>
      <w:r>
        <w:rPr>
          <w:spacing w:val="10"/>
          <w:sz w:val="20"/>
        </w:rPr>
        <w:t> </w:t>
      </w:r>
      <w:r>
        <w:rPr>
          <w:sz w:val="20"/>
        </w:rPr>
        <w:t>ilişkin</w:t>
      </w:r>
      <w:r>
        <w:rPr>
          <w:spacing w:val="8"/>
          <w:sz w:val="20"/>
        </w:rPr>
        <w:t> </w:t>
      </w:r>
      <w:r>
        <w:rPr>
          <w:sz w:val="20"/>
        </w:rPr>
        <w:t>olarak</w:t>
      </w:r>
      <w:r>
        <w:rPr>
          <w:spacing w:val="12"/>
          <w:sz w:val="20"/>
        </w:rPr>
        <w:t> </w:t>
      </w:r>
      <w:r>
        <w:rPr>
          <w:sz w:val="20"/>
        </w:rPr>
        <w:t>çıkardığı</w:t>
      </w:r>
      <w:r>
        <w:rPr>
          <w:spacing w:val="10"/>
          <w:sz w:val="20"/>
        </w:rPr>
        <w:t> </w:t>
      </w:r>
      <w:r>
        <w:rPr>
          <w:sz w:val="20"/>
        </w:rPr>
        <w:t>taslak</w:t>
      </w:r>
      <w:r>
        <w:rPr>
          <w:spacing w:val="12"/>
          <w:sz w:val="20"/>
        </w:rPr>
        <w:t> </w:t>
      </w:r>
      <w:r>
        <w:rPr>
          <w:sz w:val="20"/>
        </w:rPr>
        <w:t>kararlara</w:t>
      </w:r>
      <w:r>
        <w:rPr>
          <w:spacing w:val="10"/>
          <w:sz w:val="20"/>
        </w:rPr>
        <w:t> </w:t>
      </w:r>
      <w:r>
        <w:rPr>
          <w:sz w:val="20"/>
        </w:rPr>
        <w:t>ilişkin</w:t>
      </w:r>
      <w:r>
        <w:rPr>
          <w:spacing w:val="8"/>
          <w:sz w:val="20"/>
        </w:rPr>
        <w:t> </w:t>
      </w:r>
      <w:r>
        <w:rPr>
          <w:sz w:val="20"/>
        </w:rPr>
        <w:t>görüşler</w:t>
      </w:r>
      <w:r>
        <w:rPr>
          <w:spacing w:val="12"/>
          <w:sz w:val="20"/>
        </w:rPr>
        <w:t> </w:t>
      </w:r>
      <w:r>
        <w:rPr>
          <w:sz w:val="20"/>
        </w:rPr>
        <w:t>bildirir</w:t>
      </w:r>
      <w:r>
        <w:rPr>
          <w:spacing w:val="10"/>
          <w:sz w:val="20"/>
        </w:rPr>
        <w:t> </w:t>
      </w:r>
      <w:r>
        <w:rPr>
          <w:sz w:val="20"/>
        </w:rPr>
        <w:t>ve</w:t>
      </w:r>
    </w:p>
    <w:p>
      <w:pPr>
        <w:pStyle w:val="BodyText"/>
        <w:spacing w:before="2"/>
        <w:ind w:left="1079"/>
      </w:pPr>
      <w:r>
        <w:rPr/>
        <w:t>66. maddede atıfta bulunulan haller de dahil olmak üzere 65. madde uyarınca bağlayıcı kararlar alır;</w:t>
      </w:r>
    </w:p>
    <w:p>
      <w:pPr>
        <w:pStyle w:val="BodyText"/>
        <w:spacing w:before="4"/>
        <w:rPr>
          <w:sz w:val="27"/>
        </w:rPr>
      </w:pPr>
    </w:p>
    <w:p>
      <w:pPr>
        <w:pStyle w:val="ListParagraph"/>
        <w:numPr>
          <w:ilvl w:val="0"/>
          <w:numId w:val="123"/>
        </w:numPr>
        <w:tabs>
          <w:tab w:pos="1080" w:val="left" w:leader="none"/>
        </w:tabs>
        <w:spacing w:line="276" w:lineRule="auto" w:before="0" w:after="0"/>
        <w:ind w:left="1079" w:right="693" w:hanging="350"/>
        <w:jc w:val="left"/>
        <w:rPr>
          <w:sz w:val="20"/>
        </w:rPr>
      </w:pPr>
      <w:r>
        <w:rPr>
          <w:sz w:val="20"/>
        </w:rPr>
        <w:t>denetim makamları arasında işbirliğini ve etkili iki taraflı ve çok taraflı bilgi ve en iyi uygulamaların paylaşımını teşvik</w:t>
      </w:r>
      <w:r>
        <w:rPr>
          <w:spacing w:val="0"/>
          <w:sz w:val="20"/>
        </w:rPr>
        <w:t> </w:t>
      </w:r>
      <w:r>
        <w:rPr>
          <w:sz w:val="20"/>
        </w:rPr>
        <w:t>eder;</w:t>
      </w:r>
    </w:p>
    <w:p>
      <w:pPr>
        <w:pStyle w:val="BodyText"/>
        <w:spacing w:before="6"/>
        <w:rPr>
          <w:sz w:val="24"/>
        </w:rPr>
      </w:pPr>
    </w:p>
    <w:p>
      <w:pPr>
        <w:pStyle w:val="ListParagraph"/>
        <w:numPr>
          <w:ilvl w:val="0"/>
          <w:numId w:val="123"/>
        </w:numPr>
        <w:tabs>
          <w:tab w:pos="1080" w:val="left" w:leader="none"/>
        </w:tabs>
        <w:spacing w:line="276" w:lineRule="auto" w:before="1" w:after="0"/>
        <w:ind w:left="1079" w:right="688" w:hanging="350"/>
        <w:jc w:val="both"/>
        <w:rPr>
          <w:sz w:val="20"/>
        </w:rPr>
      </w:pPr>
      <w:r>
        <w:rPr>
          <w:sz w:val="20"/>
        </w:rPr>
        <w:t>denetim makamları arasında ve, uygun olduğu hallerde, üçüncü ülkelerin denetim makamları veya uluslararası kuruluşlarla birlikte ortak eğitim programlarını teşvik eder ve personel değişimlerini kolaylaştırır;</w:t>
      </w:r>
    </w:p>
    <w:p>
      <w:pPr>
        <w:pStyle w:val="BodyText"/>
        <w:spacing w:before="3"/>
        <w:rPr>
          <w:sz w:val="24"/>
        </w:rPr>
      </w:pPr>
    </w:p>
    <w:p>
      <w:pPr>
        <w:pStyle w:val="ListParagraph"/>
        <w:numPr>
          <w:ilvl w:val="0"/>
          <w:numId w:val="123"/>
        </w:numPr>
        <w:tabs>
          <w:tab w:pos="1065" w:val="left" w:leader="none"/>
        </w:tabs>
        <w:spacing w:line="278" w:lineRule="auto" w:before="0" w:after="0"/>
        <w:ind w:left="1079" w:right="700" w:hanging="350"/>
        <w:jc w:val="left"/>
        <w:rPr>
          <w:sz w:val="20"/>
        </w:rPr>
      </w:pPr>
      <w:r>
        <w:rPr>
          <w:sz w:val="20"/>
        </w:rPr>
        <w:t>dünyadaki veri koruma denetim makamlarıyla veri koruma mevzuatı ve uygulamalarına ilişkin bilgi ve belge paylaşımını teşvik</w:t>
      </w:r>
      <w:r>
        <w:rPr>
          <w:spacing w:val="-1"/>
          <w:sz w:val="20"/>
        </w:rPr>
        <w:t> </w:t>
      </w:r>
      <w:r>
        <w:rPr>
          <w:sz w:val="20"/>
        </w:rPr>
        <w:t>eder.</w:t>
      </w:r>
    </w:p>
    <w:p>
      <w:pPr>
        <w:pStyle w:val="ListParagraph"/>
        <w:numPr>
          <w:ilvl w:val="0"/>
          <w:numId w:val="123"/>
        </w:numPr>
        <w:tabs>
          <w:tab w:pos="1017" w:val="left" w:leader="none"/>
        </w:tabs>
        <w:spacing w:line="240" w:lineRule="auto" w:before="90" w:after="0"/>
        <w:ind w:left="1016" w:right="0" w:hanging="290"/>
        <w:jc w:val="left"/>
        <w:rPr>
          <w:sz w:val="20"/>
        </w:rPr>
      </w:pPr>
      <w:r>
        <w:rPr>
          <w:sz w:val="20"/>
        </w:rPr>
        <w:t>40(9) maddesi uyarınca Birlik düzeyinde hazırlanan davranış kurallarına ilişkin görüşler bildirir</w:t>
      </w:r>
      <w:r>
        <w:rPr>
          <w:spacing w:val="-19"/>
          <w:sz w:val="20"/>
        </w:rPr>
        <w:t> </w:t>
      </w:r>
      <w:r>
        <w:rPr>
          <w:sz w:val="20"/>
        </w:rPr>
        <w:t>ve</w:t>
      </w:r>
    </w:p>
    <w:p>
      <w:pPr>
        <w:pStyle w:val="BodyText"/>
        <w:spacing w:before="9"/>
        <w:rPr>
          <w:sz w:val="26"/>
        </w:rPr>
      </w:pPr>
    </w:p>
    <w:p>
      <w:pPr>
        <w:pStyle w:val="ListParagraph"/>
        <w:numPr>
          <w:ilvl w:val="0"/>
          <w:numId w:val="123"/>
        </w:numPr>
        <w:tabs>
          <w:tab w:pos="1072" w:val="left" w:leader="none"/>
        </w:tabs>
        <w:spacing w:line="276" w:lineRule="auto" w:before="0" w:after="0"/>
        <w:ind w:left="1079" w:right="699" w:hanging="350"/>
        <w:jc w:val="left"/>
        <w:rPr>
          <w:sz w:val="20"/>
        </w:rPr>
      </w:pPr>
      <w:r>
        <w:rPr>
          <w:sz w:val="20"/>
        </w:rPr>
        <w:t>tutarlılık mekanizmasında ele alınan konular ile ilgili olarak denetim makamları ve mahkemeler tarafından alınan kararlara ilişkin halkın erişebileceği bir elektronik sicil</w:t>
      </w:r>
      <w:r>
        <w:rPr>
          <w:spacing w:val="-13"/>
          <w:sz w:val="20"/>
        </w:rPr>
        <w:t> </w:t>
      </w:r>
      <w:r>
        <w:rPr>
          <w:sz w:val="20"/>
        </w:rPr>
        <w:t>tutar.</w:t>
      </w:r>
    </w:p>
    <w:p>
      <w:pPr>
        <w:pStyle w:val="BodyText"/>
        <w:spacing w:before="4"/>
        <w:rPr>
          <w:sz w:val="24"/>
        </w:rPr>
      </w:pPr>
    </w:p>
    <w:p>
      <w:pPr>
        <w:pStyle w:val="ListParagraph"/>
        <w:numPr>
          <w:ilvl w:val="0"/>
          <w:numId w:val="122"/>
        </w:numPr>
        <w:tabs>
          <w:tab w:pos="984" w:val="left" w:leader="none"/>
        </w:tabs>
        <w:spacing w:line="278" w:lineRule="auto" w:before="1" w:after="0"/>
        <w:ind w:left="726" w:right="688" w:firstLine="0"/>
        <w:jc w:val="left"/>
        <w:rPr>
          <w:sz w:val="20"/>
        </w:rPr>
      </w:pPr>
      <w:r>
        <w:rPr>
          <w:sz w:val="20"/>
        </w:rPr>
        <w:t>Komisyon’un Kurul’dan tavsiye talebinde bulunduğu hallerde, Komisyon konunun aciliyetini dikkate alarak bir süre sınırı belirtebilir.</w:t>
      </w:r>
    </w:p>
    <w:p>
      <w:pPr>
        <w:pStyle w:val="BodyText"/>
        <w:rPr>
          <w:sz w:val="22"/>
        </w:rPr>
      </w:pPr>
    </w:p>
    <w:p>
      <w:pPr>
        <w:pStyle w:val="BodyText"/>
        <w:rPr>
          <w:sz w:val="24"/>
        </w:rPr>
      </w:pPr>
    </w:p>
    <w:p>
      <w:pPr>
        <w:pStyle w:val="ListParagraph"/>
        <w:numPr>
          <w:ilvl w:val="0"/>
          <w:numId w:val="122"/>
        </w:numPr>
        <w:tabs>
          <w:tab w:pos="953" w:val="left" w:leader="none"/>
        </w:tabs>
        <w:spacing w:line="276" w:lineRule="auto" w:before="0" w:after="0"/>
        <w:ind w:left="726" w:right="700" w:firstLine="0"/>
        <w:jc w:val="left"/>
        <w:rPr>
          <w:sz w:val="20"/>
        </w:rPr>
      </w:pPr>
      <w:r>
        <w:rPr>
          <w:sz w:val="20"/>
        </w:rPr>
        <w:t>Kurul görüşlerini, kılavuzlarını, tavsiyelerini ve en iyi uygulamalarını Komisyon’a ve 93. maddede atıfta bulunulan komiteye iletir ve bunları kamuoyuna</w:t>
      </w:r>
      <w:r>
        <w:rPr>
          <w:spacing w:val="-1"/>
          <w:sz w:val="20"/>
        </w:rPr>
        <w:t> </w:t>
      </w:r>
      <w:r>
        <w:rPr>
          <w:sz w:val="20"/>
        </w:rPr>
        <w:t>açıklar.</w:t>
      </w:r>
    </w:p>
    <w:p>
      <w:pPr>
        <w:pStyle w:val="BodyText"/>
        <w:rPr>
          <w:sz w:val="22"/>
        </w:rPr>
      </w:pPr>
    </w:p>
    <w:p>
      <w:pPr>
        <w:pStyle w:val="BodyText"/>
        <w:spacing w:before="5"/>
        <w:rPr>
          <w:sz w:val="24"/>
        </w:rPr>
      </w:pPr>
    </w:p>
    <w:p>
      <w:pPr>
        <w:pStyle w:val="ListParagraph"/>
        <w:numPr>
          <w:ilvl w:val="0"/>
          <w:numId w:val="122"/>
        </w:numPr>
        <w:tabs>
          <w:tab w:pos="987" w:val="left" w:leader="none"/>
        </w:tabs>
        <w:spacing w:line="276" w:lineRule="auto" w:before="1" w:after="0"/>
        <w:ind w:left="726" w:right="699" w:firstLine="0"/>
        <w:jc w:val="both"/>
        <w:rPr>
          <w:sz w:val="20"/>
        </w:rPr>
      </w:pPr>
      <w:r>
        <w:rPr>
          <w:sz w:val="20"/>
        </w:rPr>
        <w:t>Kurul, uygun olduğu hallerde, ilgili taraflara danışır ve onlara makul bir süre içerisinde görüşlerini bildirme olanağı tanır. Kurul, 76. maddeye halel gelmeksizin, istişare usulünün sonuçlarını kamuoyuna açıklar.</w:t>
      </w:r>
    </w:p>
    <w:p>
      <w:pPr>
        <w:pStyle w:val="BodyText"/>
        <w:spacing w:before="3"/>
        <w:rPr>
          <w:sz w:val="24"/>
        </w:rPr>
      </w:pPr>
    </w:p>
    <w:p>
      <w:pPr>
        <w:pStyle w:val="BodyText"/>
        <w:spacing w:line="276" w:lineRule="auto"/>
        <w:ind w:left="5035" w:right="5053"/>
        <w:jc w:val="center"/>
      </w:pPr>
      <w:r>
        <w:rPr/>
        <w:t>Madde 71</w:t>
      </w:r>
    </w:p>
    <w:p>
      <w:pPr>
        <w:pStyle w:val="BodyText"/>
        <w:rPr>
          <w:sz w:val="22"/>
        </w:rPr>
      </w:pPr>
    </w:p>
    <w:p>
      <w:pPr>
        <w:pStyle w:val="BodyText"/>
        <w:spacing w:before="5"/>
        <w:rPr>
          <w:sz w:val="24"/>
        </w:rPr>
      </w:pPr>
    </w:p>
    <w:p>
      <w:pPr>
        <w:pStyle w:val="Heading1"/>
        <w:spacing w:before="1"/>
        <w:ind w:right="2140"/>
      </w:pPr>
      <w:r>
        <w:rPr/>
        <w:t>Raporlar</w:t>
      </w:r>
    </w:p>
    <w:p>
      <w:pPr>
        <w:spacing w:after="0"/>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124"/>
        </w:numPr>
        <w:tabs>
          <w:tab w:pos="1140" w:val="left" w:leader="none"/>
        </w:tabs>
        <w:spacing w:line="276" w:lineRule="auto" w:before="66" w:after="0"/>
        <w:ind w:left="726" w:right="702" w:firstLine="0"/>
        <w:jc w:val="both"/>
        <w:rPr>
          <w:sz w:val="20"/>
        </w:rPr>
      </w:pPr>
      <w:r>
        <w:rPr>
          <w:sz w:val="20"/>
        </w:rPr>
        <w:t>Kurul Birlik içerisinde ve, yerinde olduğu hallerde, üçüncü ülkelerde ve uluslararası kuruluşlarda işleme faaliyetine ilişkin olarak gerçek kişilerin korunması ile ilgili bir yıllık rapor hazırlar. Rapor kamuoyuna açıklanır ve Avrupa Parlamentosu’na, Konsey’e ve Komisyon’a</w:t>
      </w:r>
      <w:r>
        <w:rPr>
          <w:spacing w:val="-10"/>
          <w:sz w:val="20"/>
        </w:rPr>
        <w:t> </w:t>
      </w:r>
      <w:r>
        <w:rPr>
          <w:sz w:val="20"/>
        </w:rPr>
        <w:t>iletilir.</w:t>
      </w:r>
    </w:p>
    <w:p>
      <w:pPr>
        <w:pStyle w:val="BodyText"/>
        <w:rPr>
          <w:sz w:val="22"/>
        </w:rPr>
      </w:pPr>
    </w:p>
    <w:p>
      <w:pPr>
        <w:pStyle w:val="BodyText"/>
        <w:spacing w:before="5"/>
        <w:rPr>
          <w:sz w:val="24"/>
        </w:rPr>
      </w:pPr>
    </w:p>
    <w:p>
      <w:pPr>
        <w:pStyle w:val="ListParagraph"/>
        <w:numPr>
          <w:ilvl w:val="0"/>
          <w:numId w:val="124"/>
        </w:numPr>
        <w:tabs>
          <w:tab w:pos="1140" w:val="left" w:leader="none"/>
        </w:tabs>
        <w:spacing w:line="276" w:lineRule="auto" w:before="1" w:after="0"/>
        <w:ind w:left="726" w:right="702" w:firstLine="0"/>
        <w:jc w:val="both"/>
        <w:rPr>
          <w:sz w:val="20"/>
        </w:rPr>
      </w:pPr>
      <w:r>
        <w:rPr>
          <w:sz w:val="20"/>
        </w:rPr>
        <w:t>Yıllık raporda 70(1) maddesinin (l) bendinde atıfta bulunulan kılavuzlar, tavsiyeler ve en iyi uygulamaların ve 65. maddede atıfta bulunulan bağlayıcı kararların pratikte uygulamasına ilişkin bir gözden geçirmeye yer</w:t>
      </w:r>
      <w:r>
        <w:rPr>
          <w:spacing w:val="5"/>
          <w:sz w:val="20"/>
        </w:rPr>
        <w:t> </w:t>
      </w:r>
      <w:r>
        <w:rPr>
          <w:sz w:val="20"/>
        </w:rPr>
        <w:t>verilir.</w:t>
      </w:r>
    </w:p>
    <w:p>
      <w:pPr>
        <w:pStyle w:val="BodyText"/>
        <w:rPr>
          <w:sz w:val="22"/>
        </w:rPr>
      </w:pPr>
    </w:p>
    <w:p>
      <w:pPr>
        <w:pStyle w:val="BodyText"/>
        <w:spacing w:before="2"/>
        <w:rPr>
          <w:sz w:val="25"/>
        </w:rPr>
      </w:pPr>
    </w:p>
    <w:p>
      <w:pPr>
        <w:pStyle w:val="BodyText"/>
        <w:spacing w:line="276" w:lineRule="auto"/>
        <w:ind w:left="5035" w:right="5053"/>
        <w:jc w:val="center"/>
      </w:pPr>
      <w:r>
        <w:rPr/>
        <w:t>Madde 72</w:t>
      </w:r>
    </w:p>
    <w:p>
      <w:pPr>
        <w:pStyle w:val="BodyText"/>
        <w:rPr>
          <w:sz w:val="22"/>
        </w:rPr>
      </w:pPr>
    </w:p>
    <w:p>
      <w:pPr>
        <w:pStyle w:val="BodyText"/>
        <w:spacing w:before="6"/>
        <w:rPr>
          <w:sz w:val="24"/>
        </w:rPr>
      </w:pPr>
    </w:p>
    <w:p>
      <w:pPr>
        <w:pStyle w:val="Heading1"/>
        <w:ind w:left="2205"/>
      </w:pPr>
      <w:r>
        <w:rPr/>
        <w:t>Usul</w:t>
      </w:r>
    </w:p>
    <w:p>
      <w:pPr>
        <w:pStyle w:val="BodyText"/>
        <w:rPr>
          <w:b/>
          <w:sz w:val="27"/>
        </w:rPr>
      </w:pPr>
    </w:p>
    <w:p>
      <w:pPr>
        <w:pStyle w:val="ListParagraph"/>
        <w:numPr>
          <w:ilvl w:val="0"/>
          <w:numId w:val="125"/>
        </w:numPr>
        <w:tabs>
          <w:tab w:pos="948" w:val="left" w:leader="none"/>
        </w:tabs>
        <w:spacing w:line="240" w:lineRule="auto" w:before="0" w:after="0"/>
        <w:ind w:left="726" w:right="0" w:firstLine="0"/>
        <w:jc w:val="left"/>
        <w:rPr>
          <w:sz w:val="20"/>
        </w:rPr>
      </w:pPr>
      <w:r>
        <w:rPr>
          <w:sz w:val="20"/>
        </w:rPr>
        <w:t>Bu Tüzük’te aksi belirtilmedikçe, Kurul kararlarını üyelerinin salt çoğunluğu ile</w:t>
      </w:r>
      <w:r>
        <w:rPr>
          <w:spacing w:val="-18"/>
          <w:sz w:val="20"/>
        </w:rPr>
        <w:t> </w:t>
      </w:r>
      <w:r>
        <w:rPr>
          <w:sz w:val="20"/>
        </w:rPr>
        <w:t>alır.</w:t>
      </w:r>
    </w:p>
    <w:p>
      <w:pPr>
        <w:pStyle w:val="BodyText"/>
        <w:rPr>
          <w:sz w:val="22"/>
        </w:rPr>
      </w:pPr>
    </w:p>
    <w:p>
      <w:pPr>
        <w:pStyle w:val="BodyText"/>
        <w:spacing w:before="8"/>
        <w:rPr>
          <w:sz w:val="27"/>
        </w:rPr>
      </w:pPr>
    </w:p>
    <w:p>
      <w:pPr>
        <w:pStyle w:val="ListParagraph"/>
        <w:numPr>
          <w:ilvl w:val="0"/>
          <w:numId w:val="125"/>
        </w:numPr>
        <w:tabs>
          <w:tab w:pos="1139" w:val="left" w:leader="none"/>
          <w:tab w:pos="1140" w:val="left" w:leader="none"/>
        </w:tabs>
        <w:spacing w:line="278" w:lineRule="auto" w:before="0" w:after="0"/>
        <w:ind w:left="726" w:right="695" w:firstLine="0"/>
        <w:jc w:val="left"/>
        <w:rPr>
          <w:sz w:val="20"/>
        </w:rPr>
      </w:pPr>
      <w:r>
        <w:rPr>
          <w:sz w:val="20"/>
        </w:rPr>
        <w:t>Kurul kendi usul kurallarını üyelerinin üçte iki çoğunluğuyla kabul eder ve kendi işlemsel düzenlemelerini</w:t>
      </w:r>
      <w:r>
        <w:rPr>
          <w:spacing w:val="1"/>
          <w:sz w:val="20"/>
        </w:rPr>
        <w:t> </w:t>
      </w:r>
      <w:r>
        <w:rPr>
          <w:sz w:val="20"/>
        </w:rPr>
        <w:t>yapar.</w:t>
      </w:r>
    </w:p>
    <w:p>
      <w:pPr>
        <w:pStyle w:val="BodyText"/>
        <w:spacing w:before="8"/>
        <w:rPr>
          <w:sz w:val="22"/>
        </w:rPr>
      </w:pPr>
    </w:p>
    <w:p>
      <w:pPr>
        <w:pStyle w:val="BodyText"/>
        <w:spacing w:line="276" w:lineRule="auto"/>
        <w:ind w:left="5035" w:right="5053"/>
        <w:jc w:val="center"/>
      </w:pPr>
      <w:r>
        <w:rPr/>
        <w:t>Madde 73</w:t>
      </w:r>
    </w:p>
    <w:p>
      <w:pPr>
        <w:pStyle w:val="BodyText"/>
        <w:rPr>
          <w:sz w:val="22"/>
        </w:rPr>
      </w:pPr>
    </w:p>
    <w:p>
      <w:pPr>
        <w:pStyle w:val="BodyText"/>
        <w:spacing w:before="5"/>
        <w:rPr>
          <w:sz w:val="24"/>
        </w:rPr>
      </w:pPr>
    </w:p>
    <w:p>
      <w:pPr>
        <w:pStyle w:val="Heading1"/>
        <w:spacing w:before="1"/>
        <w:ind w:left="320" w:right="0"/>
        <w:jc w:val="left"/>
      </w:pPr>
      <w:r>
        <w:rPr/>
        <w:t>Başkan</w:t>
      </w:r>
    </w:p>
    <w:p>
      <w:pPr>
        <w:pStyle w:val="BodyText"/>
        <w:spacing w:before="10"/>
        <w:rPr>
          <w:b/>
          <w:sz w:val="26"/>
        </w:rPr>
      </w:pPr>
    </w:p>
    <w:p>
      <w:pPr>
        <w:pStyle w:val="ListParagraph"/>
        <w:numPr>
          <w:ilvl w:val="0"/>
          <w:numId w:val="126"/>
        </w:numPr>
        <w:tabs>
          <w:tab w:pos="948" w:val="left" w:leader="none"/>
        </w:tabs>
        <w:spacing w:line="240" w:lineRule="auto" w:before="1" w:after="0"/>
        <w:ind w:left="947" w:right="0" w:hanging="221"/>
        <w:jc w:val="left"/>
        <w:rPr>
          <w:sz w:val="20"/>
        </w:rPr>
      </w:pPr>
      <w:r>
        <w:rPr>
          <w:sz w:val="20"/>
        </w:rPr>
        <w:t>Kurul kendi üyeleri arasından bir başkan ve iki başkan yardımcısını salt çoğunluk ile</w:t>
      </w:r>
      <w:r>
        <w:rPr>
          <w:spacing w:val="-19"/>
          <w:sz w:val="20"/>
        </w:rPr>
        <w:t> </w:t>
      </w:r>
      <w:r>
        <w:rPr>
          <w:sz w:val="20"/>
        </w:rPr>
        <w:t>seçer.</w:t>
      </w:r>
    </w:p>
    <w:p>
      <w:pPr>
        <w:pStyle w:val="BodyText"/>
        <w:spacing w:before="8"/>
        <w:rPr>
          <w:sz w:val="26"/>
        </w:rPr>
      </w:pPr>
    </w:p>
    <w:p>
      <w:pPr>
        <w:pStyle w:val="ListParagraph"/>
        <w:numPr>
          <w:ilvl w:val="0"/>
          <w:numId w:val="126"/>
        </w:numPr>
        <w:tabs>
          <w:tab w:pos="948" w:val="left" w:leader="none"/>
        </w:tabs>
        <w:spacing w:line="240" w:lineRule="auto" w:before="0" w:after="0"/>
        <w:ind w:left="947" w:right="0" w:hanging="221"/>
        <w:jc w:val="left"/>
        <w:rPr>
          <w:sz w:val="20"/>
        </w:rPr>
      </w:pPr>
      <w:r>
        <w:rPr>
          <w:sz w:val="20"/>
        </w:rPr>
        <w:t>Başkan ve başkan yardımcılarının görev süresi beş yıldır ve bir kez</w:t>
      </w:r>
      <w:r>
        <w:rPr>
          <w:spacing w:val="-15"/>
          <w:sz w:val="20"/>
        </w:rPr>
        <w:t> </w:t>
      </w:r>
      <w:r>
        <w:rPr>
          <w:sz w:val="20"/>
        </w:rPr>
        <w:t>yenilenebilir.</w:t>
      </w:r>
    </w:p>
    <w:p>
      <w:pPr>
        <w:pStyle w:val="BodyText"/>
        <w:spacing w:before="10"/>
        <w:rPr>
          <w:sz w:val="28"/>
        </w:rPr>
      </w:pPr>
    </w:p>
    <w:p>
      <w:pPr>
        <w:pStyle w:val="BodyText"/>
        <w:spacing w:line="276" w:lineRule="auto"/>
        <w:ind w:left="5035" w:right="5053"/>
        <w:jc w:val="center"/>
      </w:pPr>
      <w:r>
        <w:rPr/>
        <w:t>Madde 74</w:t>
      </w:r>
    </w:p>
    <w:p>
      <w:pPr>
        <w:pStyle w:val="BodyText"/>
        <w:rPr>
          <w:sz w:val="22"/>
        </w:rPr>
      </w:pPr>
    </w:p>
    <w:p>
      <w:pPr>
        <w:pStyle w:val="BodyText"/>
        <w:spacing w:before="10"/>
        <w:rPr>
          <w:sz w:val="23"/>
        </w:rPr>
      </w:pPr>
    </w:p>
    <w:p>
      <w:pPr>
        <w:pStyle w:val="Heading1"/>
        <w:spacing w:line="278" w:lineRule="auto"/>
        <w:ind w:left="4669" w:right="4682"/>
      </w:pPr>
      <w:r>
        <w:rPr>
          <w:w w:val="95"/>
        </w:rPr>
        <w:t>Başkanın </w:t>
      </w:r>
      <w:r>
        <w:rPr/>
        <w:t>görevleri</w:t>
      </w:r>
    </w:p>
    <w:p>
      <w:pPr>
        <w:pStyle w:val="BodyText"/>
        <w:spacing w:before="6"/>
        <w:rPr>
          <w:b/>
          <w:sz w:val="23"/>
        </w:rPr>
      </w:pPr>
    </w:p>
    <w:p>
      <w:pPr>
        <w:pStyle w:val="ListParagraph"/>
        <w:numPr>
          <w:ilvl w:val="0"/>
          <w:numId w:val="127"/>
        </w:numPr>
        <w:tabs>
          <w:tab w:pos="948" w:val="left" w:leader="none"/>
        </w:tabs>
        <w:spacing w:line="240" w:lineRule="auto" w:before="0" w:after="0"/>
        <w:ind w:left="947" w:right="0" w:hanging="221"/>
        <w:jc w:val="left"/>
        <w:rPr>
          <w:sz w:val="20"/>
        </w:rPr>
      </w:pPr>
      <w:r>
        <w:rPr>
          <w:sz w:val="20"/>
        </w:rPr>
        <w:t>Başkanın aşağıdaki görevleri</w:t>
      </w:r>
      <w:r>
        <w:rPr>
          <w:spacing w:val="-5"/>
          <w:sz w:val="20"/>
        </w:rPr>
        <w:t> </w:t>
      </w:r>
      <w:r>
        <w:rPr>
          <w:sz w:val="20"/>
        </w:rPr>
        <w:t>bulunur:</w:t>
      </w:r>
    </w:p>
    <w:p>
      <w:pPr>
        <w:pStyle w:val="ListParagraph"/>
        <w:numPr>
          <w:ilvl w:val="0"/>
          <w:numId w:val="128"/>
        </w:numPr>
        <w:tabs>
          <w:tab w:pos="1027" w:val="left" w:leader="none"/>
        </w:tabs>
        <w:spacing w:line="240" w:lineRule="auto" w:before="99" w:after="0"/>
        <w:ind w:left="1022" w:right="0" w:hanging="296"/>
        <w:jc w:val="left"/>
        <w:rPr>
          <w:sz w:val="20"/>
        </w:rPr>
      </w:pPr>
      <w:r>
        <w:rPr>
          <w:sz w:val="20"/>
        </w:rPr>
        <w:t>Kurul’un toplantılarının düzenlenmesi ve toplantı gündeminin</w:t>
      </w:r>
      <w:r>
        <w:rPr>
          <w:spacing w:val="-9"/>
          <w:sz w:val="20"/>
        </w:rPr>
        <w:t> </w:t>
      </w:r>
      <w:r>
        <w:rPr>
          <w:sz w:val="20"/>
        </w:rPr>
        <w:t>hazırlanması;</w:t>
      </w:r>
    </w:p>
    <w:p>
      <w:pPr>
        <w:pStyle w:val="BodyText"/>
        <w:spacing w:before="1"/>
        <w:rPr>
          <w:sz w:val="26"/>
        </w:rPr>
      </w:pPr>
    </w:p>
    <w:p>
      <w:pPr>
        <w:pStyle w:val="ListParagraph"/>
        <w:numPr>
          <w:ilvl w:val="0"/>
          <w:numId w:val="128"/>
        </w:numPr>
        <w:tabs>
          <w:tab w:pos="1027" w:val="left" w:leader="none"/>
        </w:tabs>
        <w:spacing w:line="276" w:lineRule="auto" w:before="0" w:after="0"/>
        <w:ind w:left="1022" w:right="1377" w:hanging="296"/>
        <w:jc w:val="left"/>
        <w:rPr>
          <w:sz w:val="20"/>
        </w:rPr>
      </w:pPr>
      <w:r>
        <w:rPr>
          <w:sz w:val="20"/>
        </w:rPr>
        <w:t>Kurul tarafından 65. madde uyarınca alınan kararların baş denetim makamına ve ilgili denetim makamlarına</w:t>
      </w:r>
      <w:r>
        <w:rPr>
          <w:spacing w:val="-2"/>
          <w:sz w:val="20"/>
        </w:rPr>
        <w:t> </w:t>
      </w:r>
      <w:r>
        <w:rPr>
          <w:sz w:val="20"/>
        </w:rPr>
        <w:t>bildirilmesi;</w:t>
      </w:r>
    </w:p>
    <w:p>
      <w:pPr>
        <w:pStyle w:val="BodyText"/>
        <w:spacing w:before="6"/>
        <w:rPr>
          <w:sz w:val="24"/>
        </w:rPr>
      </w:pPr>
    </w:p>
    <w:p>
      <w:pPr>
        <w:pStyle w:val="ListParagraph"/>
        <w:numPr>
          <w:ilvl w:val="0"/>
          <w:numId w:val="128"/>
        </w:numPr>
        <w:tabs>
          <w:tab w:pos="1017" w:val="left" w:leader="none"/>
        </w:tabs>
        <w:spacing w:line="276" w:lineRule="auto" w:before="1" w:after="0"/>
        <w:ind w:left="1022" w:right="1538" w:hanging="296"/>
        <w:jc w:val="left"/>
        <w:rPr>
          <w:sz w:val="20"/>
        </w:rPr>
      </w:pPr>
      <w:r>
        <w:rPr>
          <w:sz w:val="20"/>
        </w:rPr>
        <w:t>63. maddede atıfta bulunulan tutarlılık mekanizması başta olmak üzere Kurul’un görevlerinin zamanında yerine getirilmesinin</w:t>
      </w:r>
      <w:r>
        <w:rPr>
          <w:spacing w:val="2"/>
          <w:sz w:val="20"/>
        </w:rPr>
        <w:t> </w:t>
      </w:r>
      <w:r>
        <w:rPr>
          <w:sz w:val="20"/>
        </w:rPr>
        <w:t>sağlanması.</w:t>
      </w:r>
    </w:p>
    <w:p>
      <w:pPr>
        <w:pStyle w:val="ListParagraph"/>
        <w:numPr>
          <w:ilvl w:val="0"/>
          <w:numId w:val="127"/>
        </w:numPr>
        <w:tabs>
          <w:tab w:pos="948" w:val="left" w:leader="none"/>
        </w:tabs>
        <w:spacing w:line="240" w:lineRule="auto" w:before="100" w:after="0"/>
        <w:ind w:left="947" w:right="0" w:hanging="221"/>
        <w:jc w:val="left"/>
        <w:rPr>
          <w:sz w:val="20"/>
        </w:rPr>
      </w:pPr>
      <w:r>
        <w:rPr>
          <w:sz w:val="20"/>
        </w:rPr>
        <w:t>Kurul, Başkan ile başkan yardımcıları arasındaki görev dağılımını usul kurallarında ortaya</w:t>
      </w:r>
      <w:r>
        <w:rPr>
          <w:spacing w:val="-25"/>
          <w:sz w:val="20"/>
        </w:rPr>
        <w:t> </w:t>
      </w:r>
      <w:r>
        <w:rPr>
          <w:sz w:val="20"/>
        </w:rPr>
        <w:t>koyar.</w:t>
      </w:r>
    </w:p>
    <w:p>
      <w:pPr>
        <w:pStyle w:val="BodyText"/>
        <w:spacing w:before="6"/>
        <w:rPr>
          <w:sz w:val="26"/>
        </w:rPr>
      </w:pPr>
    </w:p>
    <w:p>
      <w:pPr>
        <w:pStyle w:val="BodyText"/>
        <w:spacing w:line="276" w:lineRule="auto"/>
        <w:ind w:left="5035" w:right="5053"/>
        <w:jc w:val="center"/>
      </w:pPr>
      <w:r>
        <w:rPr/>
        <w:t>Madde 75</w:t>
      </w:r>
    </w:p>
    <w:p>
      <w:pPr>
        <w:pStyle w:val="BodyText"/>
        <w:rPr>
          <w:sz w:val="22"/>
        </w:rPr>
      </w:pPr>
    </w:p>
    <w:p>
      <w:pPr>
        <w:pStyle w:val="BodyText"/>
        <w:rPr>
          <w:sz w:val="24"/>
        </w:rPr>
      </w:pPr>
    </w:p>
    <w:p>
      <w:pPr>
        <w:pStyle w:val="Heading1"/>
        <w:spacing w:before="1"/>
        <w:ind w:right="1999"/>
      </w:pPr>
      <w:r>
        <w:rPr/>
        <w:t>Sekretarya</w:t>
      </w:r>
    </w:p>
    <w:p>
      <w:pPr>
        <w:pStyle w:val="BodyText"/>
        <w:spacing w:before="4"/>
        <w:rPr>
          <w:b/>
          <w:sz w:val="27"/>
        </w:rPr>
      </w:pPr>
    </w:p>
    <w:p>
      <w:pPr>
        <w:pStyle w:val="ListParagraph"/>
        <w:numPr>
          <w:ilvl w:val="0"/>
          <w:numId w:val="129"/>
        </w:numPr>
        <w:tabs>
          <w:tab w:pos="948" w:val="left" w:leader="none"/>
        </w:tabs>
        <w:spacing w:line="240" w:lineRule="auto" w:before="0" w:after="0"/>
        <w:ind w:left="726" w:right="0" w:firstLine="0"/>
        <w:jc w:val="left"/>
        <w:rPr>
          <w:sz w:val="20"/>
        </w:rPr>
      </w:pPr>
      <w:r>
        <w:rPr>
          <w:sz w:val="20"/>
        </w:rPr>
        <w:t>Kurul’un Avrupa Veri Koruma Denetmeni tarafından sağlanan bir sekretaryası</w:t>
      </w:r>
      <w:r>
        <w:rPr>
          <w:spacing w:val="-9"/>
          <w:sz w:val="20"/>
        </w:rPr>
        <w:t> </w:t>
      </w:r>
      <w:r>
        <w:rPr>
          <w:sz w:val="20"/>
        </w:rPr>
        <w:t>bulunur.</w:t>
      </w:r>
    </w:p>
    <w:p>
      <w:pPr>
        <w:spacing w:after="0" w:line="240" w:lineRule="auto"/>
        <w:jc w:val="left"/>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129"/>
        </w:numPr>
        <w:tabs>
          <w:tab w:pos="948" w:val="left" w:leader="none"/>
        </w:tabs>
        <w:spacing w:line="240" w:lineRule="auto" w:before="66" w:after="0"/>
        <w:ind w:left="726" w:right="0" w:firstLine="0"/>
        <w:jc w:val="left"/>
        <w:rPr>
          <w:sz w:val="20"/>
        </w:rPr>
      </w:pPr>
      <w:r>
        <w:rPr>
          <w:sz w:val="20"/>
        </w:rPr>
        <w:t>Sekretarya görevlerini tamamen Kurul Başkanı’nın talimatları üzerine</w:t>
      </w:r>
      <w:r>
        <w:rPr>
          <w:spacing w:val="-12"/>
          <w:sz w:val="20"/>
        </w:rPr>
        <w:t> </w:t>
      </w:r>
      <w:r>
        <w:rPr>
          <w:sz w:val="20"/>
        </w:rPr>
        <w:t>gerçekleştirir.</w:t>
      </w:r>
    </w:p>
    <w:p>
      <w:pPr>
        <w:pStyle w:val="BodyText"/>
        <w:spacing w:before="2"/>
        <w:rPr>
          <w:sz w:val="27"/>
        </w:rPr>
      </w:pPr>
    </w:p>
    <w:p>
      <w:pPr>
        <w:pStyle w:val="ListParagraph"/>
        <w:numPr>
          <w:ilvl w:val="0"/>
          <w:numId w:val="129"/>
        </w:numPr>
        <w:tabs>
          <w:tab w:pos="1140" w:val="left" w:leader="none"/>
        </w:tabs>
        <w:spacing w:line="276" w:lineRule="auto" w:before="1" w:after="0"/>
        <w:ind w:left="726" w:right="697" w:firstLine="0"/>
        <w:jc w:val="both"/>
        <w:rPr>
          <w:sz w:val="20"/>
        </w:rPr>
      </w:pPr>
      <w:r>
        <w:rPr>
          <w:sz w:val="20"/>
        </w:rPr>
        <w:t>Avrupa Veri Koruma Denetmeni’nin bu Tüzük’le Kurul’a verilen görevlerin yerine getirilmesine müdahil olan personeli, Avrupa Veri Koruma Denetmeni’ne verilen görevlerin yerine getirilmesine müdahil olan personelden ayrı raporlama hatlarına</w:t>
      </w:r>
      <w:r>
        <w:rPr>
          <w:spacing w:val="-6"/>
          <w:sz w:val="20"/>
        </w:rPr>
        <w:t> </w:t>
      </w:r>
      <w:r>
        <w:rPr>
          <w:sz w:val="20"/>
        </w:rPr>
        <w:t>tabidir.</w:t>
      </w:r>
    </w:p>
    <w:p>
      <w:pPr>
        <w:pStyle w:val="BodyText"/>
        <w:rPr>
          <w:sz w:val="22"/>
        </w:rPr>
      </w:pPr>
    </w:p>
    <w:p>
      <w:pPr>
        <w:pStyle w:val="BodyText"/>
        <w:spacing w:before="7"/>
        <w:rPr>
          <w:sz w:val="24"/>
        </w:rPr>
      </w:pPr>
    </w:p>
    <w:p>
      <w:pPr>
        <w:pStyle w:val="ListParagraph"/>
        <w:numPr>
          <w:ilvl w:val="0"/>
          <w:numId w:val="129"/>
        </w:numPr>
        <w:tabs>
          <w:tab w:pos="999" w:val="left" w:leader="none"/>
        </w:tabs>
        <w:spacing w:line="276" w:lineRule="auto" w:before="0" w:after="0"/>
        <w:ind w:left="726" w:right="697" w:firstLine="0"/>
        <w:jc w:val="both"/>
        <w:rPr>
          <w:sz w:val="20"/>
        </w:rPr>
      </w:pPr>
      <w:r>
        <w:rPr>
          <w:sz w:val="20"/>
        </w:rPr>
        <w:t>Uygun olduğu hallerde, Kurul ve Avrupa Veri Koruma Denetmeni bu maddenin uygulanması ve aralarındaki işbirliği koşullarının belirlenmesine yönelik olarak hazırlanan ve Avrupa Veri Koruma Denetmeni’nin bu Tüzük’le Kurul’a verilen görevlerinin yerine getirilmesine müdahil olan personeline uygulanan bir Mutabakat Zaptı hazırlar ve yayımlar.</w:t>
      </w:r>
    </w:p>
    <w:p>
      <w:pPr>
        <w:pStyle w:val="BodyText"/>
        <w:spacing w:before="7"/>
        <w:rPr>
          <w:sz w:val="23"/>
        </w:rPr>
      </w:pPr>
    </w:p>
    <w:p>
      <w:pPr>
        <w:pStyle w:val="ListParagraph"/>
        <w:numPr>
          <w:ilvl w:val="0"/>
          <w:numId w:val="129"/>
        </w:numPr>
        <w:tabs>
          <w:tab w:pos="948" w:val="left" w:leader="none"/>
        </w:tabs>
        <w:spacing w:line="240" w:lineRule="auto" w:before="1" w:after="0"/>
        <w:ind w:left="726" w:right="0" w:firstLine="0"/>
        <w:jc w:val="left"/>
        <w:rPr>
          <w:sz w:val="20"/>
        </w:rPr>
      </w:pPr>
      <w:r>
        <w:rPr>
          <w:sz w:val="20"/>
        </w:rPr>
        <w:t>Sekretarya, Kurul’a analitik, idari ve lojistik destek</w:t>
      </w:r>
      <w:r>
        <w:rPr>
          <w:spacing w:val="2"/>
          <w:sz w:val="20"/>
        </w:rPr>
        <w:t> </w:t>
      </w:r>
      <w:r>
        <w:rPr>
          <w:sz w:val="20"/>
        </w:rPr>
        <w:t>sağlar.</w:t>
      </w:r>
    </w:p>
    <w:p>
      <w:pPr>
        <w:pStyle w:val="BodyText"/>
        <w:spacing w:before="1"/>
        <w:rPr>
          <w:sz w:val="26"/>
        </w:rPr>
      </w:pPr>
    </w:p>
    <w:p>
      <w:pPr>
        <w:pStyle w:val="ListParagraph"/>
        <w:numPr>
          <w:ilvl w:val="0"/>
          <w:numId w:val="129"/>
        </w:numPr>
        <w:tabs>
          <w:tab w:pos="948" w:val="left" w:leader="none"/>
        </w:tabs>
        <w:spacing w:line="276" w:lineRule="auto" w:before="0" w:after="0"/>
        <w:ind w:left="726" w:right="4851" w:firstLine="0"/>
        <w:jc w:val="left"/>
        <w:rPr>
          <w:sz w:val="20"/>
        </w:rPr>
      </w:pPr>
      <w:r>
        <w:rPr>
          <w:sz w:val="20"/>
        </w:rPr>
        <w:t>Sekretarya özellikle aşağıdaki hususlardan sorumludur. (a)Kurul’un günlük</w:t>
      </w:r>
      <w:r>
        <w:rPr>
          <w:spacing w:val="-1"/>
          <w:sz w:val="20"/>
        </w:rPr>
        <w:t> </w:t>
      </w:r>
      <w:r>
        <w:rPr>
          <w:sz w:val="20"/>
        </w:rPr>
        <w:t>çalışmaları;</w:t>
      </w:r>
    </w:p>
    <w:p>
      <w:pPr>
        <w:pStyle w:val="ListParagraph"/>
        <w:numPr>
          <w:ilvl w:val="0"/>
          <w:numId w:val="130"/>
        </w:numPr>
        <w:tabs>
          <w:tab w:pos="972" w:val="left" w:leader="none"/>
        </w:tabs>
        <w:spacing w:line="240" w:lineRule="auto" w:before="14" w:after="0"/>
        <w:ind w:left="1022" w:right="0" w:hanging="296"/>
        <w:jc w:val="both"/>
        <w:rPr>
          <w:sz w:val="20"/>
        </w:rPr>
      </w:pPr>
      <w:r>
        <w:rPr>
          <w:sz w:val="20"/>
        </w:rPr>
        <w:t>Kurul’un üyeleri, Başkanı ve Komisyon arasındaki</w:t>
      </w:r>
      <w:r>
        <w:rPr>
          <w:spacing w:val="-4"/>
          <w:sz w:val="20"/>
        </w:rPr>
        <w:t> </w:t>
      </w:r>
      <w:r>
        <w:rPr>
          <w:sz w:val="20"/>
        </w:rPr>
        <w:t>iletişim;</w:t>
      </w:r>
    </w:p>
    <w:p>
      <w:pPr>
        <w:pStyle w:val="ListParagraph"/>
        <w:numPr>
          <w:ilvl w:val="0"/>
          <w:numId w:val="130"/>
        </w:numPr>
        <w:tabs>
          <w:tab w:pos="1017" w:val="left" w:leader="none"/>
        </w:tabs>
        <w:spacing w:line="240" w:lineRule="auto" w:before="46" w:after="0"/>
        <w:ind w:left="1016" w:right="0" w:hanging="290"/>
        <w:jc w:val="both"/>
        <w:rPr>
          <w:sz w:val="20"/>
        </w:rPr>
      </w:pPr>
      <w:r>
        <w:rPr>
          <w:sz w:val="20"/>
        </w:rPr>
        <w:t>diğer kuruluşlar ve kamuoyu ile</w:t>
      </w:r>
      <w:r>
        <w:rPr>
          <w:spacing w:val="0"/>
          <w:sz w:val="20"/>
        </w:rPr>
        <w:t> </w:t>
      </w:r>
      <w:r>
        <w:rPr>
          <w:sz w:val="20"/>
        </w:rPr>
        <w:t>iletişim;</w:t>
      </w:r>
    </w:p>
    <w:p>
      <w:pPr>
        <w:pStyle w:val="ListParagraph"/>
        <w:numPr>
          <w:ilvl w:val="0"/>
          <w:numId w:val="130"/>
        </w:numPr>
        <w:tabs>
          <w:tab w:pos="1027" w:val="left" w:leader="none"/>
        </w:tabs>
        <w:spacing w:line="240" w:lineRule="auto" w:before="48" w:after="0"/>
        <w:ind w:left="1026" w:right="0" w:hanging="300"/>
        <w:jc w:val="both"/>
        <w:rPr>
          <w:sz w:val="20"/>
        </w:rPr>
      </w:pPr>
      <w:r>
        <w:rPr>
          <w:sz w:val="20"/>
        </w:rPr>
        <w:t>iç ve dış iletişim için elektronik yöntemlerin</w:t>
      </w:r>
      <w:r>
        <w:rPr>
          <w:spacing w:val="5"/>
          <w:sz w:val="20"/>
        </w:rPr>
        <w:t> </w:t>
      </w:r>
      <w:r>
        <w:rPr>
          <w:sz w:val="20"/>
        </w:rPr>
        <w:t>kullanımı;</w:t>
      </w:r>
    </w:p>
    <w:p>
      <w:pPr>
        <w:pStyle w:val="ListParagraph"/>
        <w:numPr>
          <w:ilvl w:val="0"/>
          <w:numId w:val="130"/>
        </w:numPr>
        <w:tabs>
          <w:tab w:pos="1027" w:val="left" w:leader="none"/>
        </w:tabs>
        <w:spacing w:line="240" w:lineRule="auto" w:before="46" w:after="0"/>
        <w:ind w:left="1026" w:right="0" w:hanging="300"/>
        <w:jc w:val="both"/>
        <w:rPr>
          <w:sz w:val="20"/>
        </w:rPr>
      </w:pPr>
      <w:r>
        <w:rPr>
          <w:sz w:val="20"/>
        </w:rPr>
        <w:t>ilgili bilgilerin</w:t>
      </w:r>
      <w:r>
        <w:rPr>
          <w:spacing w:val="-4"/>
          <w:sz w:val="20"/>
        </w:rPr>
        <w:t> </w:t>
      </w:r>
      <w:r>
        <w:rPr>
          <w:sz w:val="20"/>
        </w:rPr>
        <w:t>çevirisi;</w:t>
      </w:r>
    </w:p>
    <w:p>
      <w:pPr>
        <w:pStyle w:val="ListParagraph"/>
        <w:numPr>
          <w:ilvl w:val="0"/>
          <w:numId w:val="130"/>
        </w:numPr>
        <w:tabs>
          <w:tab w:pos="974" w:val="left" w:leader="none"/>
        </w:tabs>
        <w:spacing w:line="240" w:lineRule="auto" w:before="51" w:after="0"/>
        <w:ind w:left="973" w:right="0" w:hanging="247"/>
        <w:jc w:val="both"/>
        <w:rPr>
          <w:sz w:val="20"/>
        </w:rPr>
      </w:pPr>
      <w:r>
        <w:rPr>
          <w:sz w:val="20"/>
        </w:rPr>
        <w:t>Kurul’un toplantılarının hazırlanması ve takip</w:t>
      </w:r>
      <w:r>
        <w:rPr>
          <w:spacing w:val="-7"/>
          <w:sz w:val="20"/>
        </w:rPr>
        <w:t> </w:t>
      </w:r>
      <w:r>
        <w:rPr>
          <w:sz w:val="20"/>
        </w:rPr>
        <w:t>edilmesi;</w:t>
      </w:r>
    </w:p>
    <w:p>
      <w:pPr>
        <w:pStyle w:val="BodyText"/>
        <w:spacing w:before="1"/>
        <w:rPr>
          <w:sz w:val="26"/>
        </w:rPr>
      </w:pPr>
    </w:p>
    <w:p>
      <w:pPr>
        <w:pStyle w:val="ListParagraph"/>
        <w:numPr>
          <w:ilvl w:val="0"/>
          <w:numId w:val="130"/>
        </w:numPr>
        <w:tabs>
          <w:tab w:pos="1027" w:val="left" w:leader="none"/>
        </w:tabs>
        <w:spacing w:line="278" w:lineRule="auto" w:before="0" w:after="0"/>
        <w:ind w:left="1022" w:right="867" w:hanging="296"/>
        <w:jc w:val="left"/>
        <w:rPr>
          <w:sz w:val="20"/>
        </w:rPr>
      </w:pPr>
      <w:r>
        <w:rPr>
          <w:sz w:val="20"/>
        </w:rPr>
        <w:t>denetim makamları arasındaki ihtilafların çözümüne ilişkin görüşler ve kararların ve Kurul tarafından kabul edilen diğer metinlerin hazırlanması, taslak haline getirilmesi ve</w:t>
      </w:r>
      <w:r>
        <w:rPr>
          <w:spacing w:val="-18"/>
          <w:sz w:val="20"/>
        </w:rPr>
        <w:t> </w:t>
      </w:r>
      <w:r>
        <w:rPr>
          <w:sz w:val="20"/>
        </w:rPr>
        <w:t>yayımlanması.</w:t>
      </w:r>
    </w:p>
    <w:p>
      <w:pPr>
        <w:pStyle w:val="BodyText"/>
        <w:rPr>
          <w:sz w:val="22"/>
        </w:rPr>
      </w:pPr>
    </w:p>
    <w:p>
      <w:pPr>
        <w:pStyle w:val="BodyText"/>
        <w:spacing w:before="1"/>
        <w:rPr>
          <w:sz w:val="24"/>
        </w:rPr>
      </w:pPr>
    </w:p>
    <w:p>
      <w:pPr>
        <w:pStyle w:val="BodyText"/>
        <w:spacing w:line="276" w:lineRule="auto"/>
        <w:ind w:left="5035" w:right="5053"/>
        <w:jc w:val="center"/>
      </w:pPr>
      <w:r>
        <w:rPr/>
        <w:t>Madde 76</w:t>
      </w:r>
    </w:p>
    <w:p>
      <w:pPr>
        <w:pStyle w:val="BodyText"/>
        <w:rPr>
          <w:sz w:val="22"/>
        </w:rPr>
      </w:pPr>
    </w:p>
    <w:p>
      <w:pPr>
        <w:pStyle w:val="BodyText"/>
        <w:spacing w:before="10"/>
        <w:rPr>
          <w:sz w:val="23"/>
        </w:rPr>
      </w:pPr>
    </w:p>
    <w:p>
      <w:pPr>
        <w:pStyle w:val="Heading1"/>
        <w:ind w:left="2205"/>
      </w:pPr>
      <w:r>
        <w:rPr/>
        <w:t>Gizlilik</w:t>
      </w:r>
    </w:p>
    <w:p>
      <w:pPr>
        <w:pStyle w:val="BodyText"/>
        <w:rPr>
          <w:b/>
          <w:sz w:val="22"/>
        </w:rPr>
      </w:pPr>
    </w:p>
    <w:p>
      <w:pPr>
        <w:pStyle w:val="BodyText"/>
        <w:spacing w:before="10"/>
        <w:rPr>
          <w:b/>
          <w:sz w:val="27"/>
        </w:rPr>
      </w:pPr>
    </w:p>
    <w:p>
      <w:pPr>
        <w:pStyle w:val="ListParagraph"/>
        <w:numPr>
          <w:ilvl w:val="0"/>
          <w:numId w:val="131"/>
        </w:numPr>
        <w:tabs>
          <w:tab w:pos="1139" w:val="left" w:leader="none"/>
          <w:tab w:pos="1140" w:val="left" w:leader="none"/>
        </w:tabs>
        <w:spacing w:line="240" w:lineRule="auto" w:before="1" w:after="0"/>
        <w:ind w:left="726" w:right="0" w:firstLine="0"/>
        <w:jc w:val="left"/>
        <w:rPr>
          <w:sz w:val="20"/>
        </w:rPr>
      </w:pPr>
      <w:r>
        <w:rPr>
          <w:sz w:val="20"/>
        </w:rPr>
        <w:t>Usul kurallarında belirtildiği üzere, Kurul’un gerekli gördüğü hallerde, Kurul görüşmeleri</w:t>
      </w:r>
      <w:r>
        <w:rPr>
          <w:spacing w:val="-24"/>
          <w:sz w:val="20"/>
        </w:rPr>
        <w:t> </w:t>
      </w:r>
      <w:r>
        <w:rPr>
          <w:sz w:val="20"/>
        </w:rPr>
        <w:t>gizlidir.</w:t>
      </w:r>
    </w:p>
    <w:p>
      <w:pPr>
        <w:pStyle w:val="BodyText"/>
        <w:rPr>
          <w:sz w:val="30"/>
        </w:rPr>
      </w:pPr>
    </w:p>
    <w:p>
      <w:pPr>
        <w:pStyle w:val="ListParagraph"/>
        <w:numPr>
          <w:ilvl w:val="0"/>
          <w:numId w:val="131"/>
        </w:numPr>
        <w:tabs>
          <w:tab w:pos="1035" w:val="left" w:leader="none"/>
        </w:tabs>
        <w:spacing w:line="278" w:lineRule="auto" w:before="1" w:after="0"/>
        <w:ind w:left="726" w:right="696" w:firstLine="0"/>
        <w:jc w:val="left"/>
        <w:rPr>
          <w:sz w:val="20"/>
        </w:rPr>
      </w:pPr>
      <w:r>
        <w:rPr>
          <w:sz w:val="20"/>
        </w:rPr>
        <w:t>Kurul üyelerine, üçüncü kişilerin uzmanlarına ve temsilcilerine sunulan belgelere erişim (AT) 1049/2001 sayılı Avrupa Parlamentosu ve Konsey Tüzüğü ile</w:t>
      </w:r>
      <w:r>
        <w:rPr>
          <w:spacing w:val="-12"/>
          <w:sz w:val="20"/>
        </w:rPr>
        <w:t> </w:t>
      </w:r>
      <w:r>
        <w:rPr>
          <w:sz w:val="20"/>
        </w:rPr>
        <w:t>düzenlenir</w:t>
      </w:r>
      <w:r>
        <w:rPr>
          <w:sz w:val="20"/>
          <w:vertAlign w:val="superscript"/>
        </w:rPr>
        <w:t>3</w:t>
      </w:r>
      <w:r>
        <w:rPr>
          <w:sz w:val="20"/>
          <w:vertAlign w:val="baseline"/>
        </w:rPr>
        <w:t>.</w:t>
      </w:r>
    </w:p>
    <w:p>
      <w:pPr>
        <w:pStyle w:val="BodyText"/>
        <w:rPr>
          <w:sz w:val="26"/>
        </w:rPr>
      </w:pPr>
    </w:p>
    <w:p>
      <w:pPr>
        <w:pStyle w:val="BodyText"/>
        <w:spacing w:line="278" w:lineRule="auto" w:before="226"/>
        <w:ind w:left="4987" w:right="5007"/>
        <w:jc w:val="center"/>
      </w:pPr>
      <w:r>
        <w:rPr>
          <w:w w:val="95"/>
        </w:rPr>
        <w:t>BÖLÜM </w:t>
      </w:r>
      <w:r>
        <w:rPr/>
        <w:t>VIII</w:t>
      </w:r>
    </w:p>
    <w:p>
      <w:pPr>
        <w:pStyle w:val="BodyText"/>
        <w:spacing w:before="10"/>
        <w:rPr>
          <w:sz w:val="22"/>
        </w:rPr>
      </w:pPr>
    </w:p>
    <w:p>
      <w:pPr>
        <w:pStyle w:val="Heading1"/>
        <w:ind w:left="4039" w:right="0"/>
        <w:jc w:val="left"/>
      </w:pPr>
      <w:r>
        <w:rPr/>
        <w:t>Çözüm yolları, sorumluluk ve yaptırımlar</w:t>
      </w:r>
    </w:p>
    <w:p>
      <w:pPr>
        <w:pStyle w:val="BodyText"/>
        <w:rPr>
          <w:b/>
          <w:sz w:val="22"/>
        </w:rPr>
      </w:pPr>
    </w:p>
    <w:p>
      <w:pPr>
        <w:pStyle w:val="BodyText"/>
        <w:spacing w:before="6"/>
        <w:rPr>
          <w:b/>
          <w:sz w:val="27"/>
        </w:rPr>
      </w:pPr>
    </w:p>
    <w:p>
      <w:pPr>
        <w:pStyle w:val="BodyText"/>
        <w:spacing w:line="276" w:lineRule="auto"/>
        <w:ind w:left="5035" w:right="5053"/>
        <w:jc w:val="center"/>
      </w:pPr>
      <w:r>
        <w:rPr/>
        <w:t>Madde 77</w:t>
      </w:r>
    </w:p>
    <w:p>
      <w:pPr>
        <w:pStyle w:val="BodyText"/>
        <w:rPr>
          <w:sz w:val="22"/>
        </w:rPr>
      </w:pPr>
    </w:p>
    <w:p>
      <w:pPr>
        <w:pStyle w:val="BodyText"/>
        <w:spacing w:before="1"/>
        <w:rPr>
          <w:sz w:val="24"/>
        </w:rPr>
      </w:pPr>
    </w:p>
    <w:p>
      <w:pPr>
        <w:pStyle w:val="Heading1"/>
        <w:ind w:right="2226"/>
      </w:pPr>
      <w:r>
        <w:rPr/>
        <w:t>Bir denetim makamına şikayette bulunma hakkı</w:t>
      </w:r>
    </w:p>
    <w:p>
      <w:pPr>
        <w:pStyle w:val="BodyText"/>
        <w:rPr>
          <w:b/>
        </w:rPr>
      </w:pPr>
    </w:p>
    <w:p>
      <w:pPr>
        <w:pStyle w:val="BodyText"/>
        <w:rPr>
          <w:b/>
        </w:rPr>
      </w:pPr>
    </w:p>
    <w:p>
      <w:pPr>
        <w:pStyle w:val="BodyText"/>
        <w:rPr>
          <w:b/>
        </w:rPr>
      </w:pPr>
    </w:p>
    <w:p>
      <w:pPr>
        <w:pStyle w:val="BodyText"/>
        <w:spacing w:before="6"/>
        <w:rPr>
          <w:b/>
        </w:rPr>
      </w:pPr>
      <w:r>
        <w:rPr/>
        <w:pict>
          <v:line style="position:absolute;mso-position-horizontal-relative:page;mso-position-vertical-relative:paragraph;z-index:2536;mso-wrap-distance-left:0;mso-wrap-distance-right:0" from="36pt,14.156919pt" to="180.05pt,14.156919pt" stroked="true" strokeweight=".72003pt" strokecolor="#000000">
            <v:stroke dashstyle="solid"/>
            <w10:wrap type="topAndBottom"/>
          </v:line>
        </w:pict>
      </w:r>
    </w:p>
    <w:p>
      <w:pPr>
        <w:spacing w:line="201" w:lineRule="auto" w:before="83"/>
        <w:ind w:left="100" w:right="116" w:firstLine="0"/>
        <w:jc w:val="left"/>
        <w:rPr>
          <w:rFonts w:ascii="メイリオ" w:hAnsi="メイリオ"/>
          <w:sz w:val="17"/>
        </w:rPr>
      </w:pPr>
      <w:r>
        <w:rPr>
          <w:rFonts w:ascii="Calibri" w:hAnsi="Calibri"/>
          <w:position w:val="10"/>
          <w:sz w:val="14"/>
        </w:rPr>
        <w:t>3 </w:t>
      </w:r>
      <w:r>
        <w:rPr>
          <w:rFonts w:ascii="メイリオ" w:hAnsi="メイリオ"/>
          <w:sz w:val="17"/>
        </w:rPr>
        <w:t>Halk</w:t>
      </w:r>
      <w:r>
        <w:rPr>
          <w:rFonts w:ascii="Times New Roman" w:hAnsi="Times New Roman"/>
          <w:sz w:val="17"/>
        </w:rPr>
        <w:t>ı</w:t>
      </w:r>
      <w:r>
        <w:rPr>
          <w:rFonts w:ascii="メイリオ" w:hAnsi="メイリオ"/>
          <w:sz w:val="17"/>
        </w:rPr>
        <w:t>n Avrupa Parlamentosu, Konsey ve Komisyon belgelerine eri</w:t>
      </w:r>
      <w:r>
        <w:rPr>
          <w:rFonts w:ascii="Times New Roman" w:hAnsi="Times New Roman"/>
          <w:sz w:val="17"/>
        </w:rPr>
        <w:t>ş</w:t>
      </w:r>
      <w:r>
        <w:rPr>
          <w:rFonts w:ascii="メイリオ" w:hAnsi="メイリオ"/>
          <w:sz w:val="17"/>
        </w:rPr>
        <w:t>imi hakk</w:t>
      </w:r>
      <w:r>
        <w:rPr>
          <w:rFonts w:ascii="Times New Roman" w:hAnsi="Times New Roman"/>
          <w:sz w:val="17"/>
        </w:rPr>
        <w:t>ı</w:t>
      </w:r>
      <w:r>
        <w:rPr>
          <w:rFonts w:ascii="メイリオ" w:hAnsi="メイリオ"/>
          <w:sz w:val="17"/>
        </w:rPr>
        <w:t>nda 30 May</w:t>
      </w:r>
      <w:r>
        <w:rPr>
          <w:rFonts w:ascii="Times New Roman" w:hAnsi="Times New Roman"/>
          <w:sz w:val="17"/>
        </w:rPr>
        <w:t>ı</w:t>
      </w:r>
      <w:r>
        <w:rPr>
          <w:rFonts w:ascii="メイリオ" w:hAnsi="メイリオ"/>
          <w:sz w:val="17"/>
        </w:rPr>
        <w:t>s 2001 tarihli ve (AT) 1049/2001 say</w:t>
      </w:r>
      <w:r>
        <w:rPr>
          <w:rFonts w:ascii="Times New Roman" w:hAnsi="Times New Roman"/>
          <w:sz w:val="17"/>
        </w:rPr>
        <w:t>ı</w:t>
      </w:r>
      <w:r>
        <w:rPr>
          <w:rFonts w:ascii="メイリオ" w:hAnsi="メイリオ"/>
          <w:sz w:val="17"/>
        </w:rPr>
        <w:t>l</w:t>
      </w:r>
      <w:r>
        <w:rPr>
          <w:rFonts w:ascii="Times New Roman" w:hAnsi="Times New Roman"/>
          <w:sz w:val="17"/>
        </w:rPr>
        <w:t>ı </w:t>
      </w:r>
      <w:r>
        <w:rPr>
          <w:rFonts w:ascii="メイリオ" w:hAnsi="メイリオ"/>
          <w:sz w:val="17"/>
        </w:rPr>
        <w:t>Avrupa Parlamentosu ve Konsey T</w:t>
      </w:r>
      <w:r>
        <w:rPr>
          <w:rFonts w:ascii="Times New Roman" w:hAnsi="Times New Roman"/>
          <w:sz w:val="17"/>
        </w:rPr>
        <w:t>ü</w:t>
      </w:r>
      <w:r>
        <w:rPr>
          <w:rFonts w:ascii="メイリオ" w:hAnsi="メイリオ"/>
          <w:sz w:val="17"/>
        </w:rPr>
        <w:t>z</w:t>
      </w:r>
      <w:r>
        <w:rPr>
          <w:rFonts w:ascii="Times New Roman" w:hAnsi="Times New Roman"/>
          <w:sz w:val="17"/>
        </w:rPr>
        <w:t>üğü </w:t>
      </w:r>
      <w:r>
        <w:rPr>
          <w:rFonts w:ascii="メイリオ" w:hAnsi="メイリオ"/>
          <w:sz w:val="17"/>
        </w:rPr>
        <w:t>(ATRG L 145, 31.5.2001, s. 43).</w:t>
      </w:r>
    </w:p>
    <w:p>
      <w:pPr>
        <w:spacing w:after="0" w:line="201" w:lineRule="auto"/>
        <w:jc w:val="left"/>
        <w:rPr>
          <w:rFonts w:ascii="メイリオ" w:hAnsi="メイリオ"/>
          <w:sz w:val="17"/>
        </w:rPr>
        <w:sectPr>
          <w:pgSz w:w="11930" w:h="16850"/>
          <w:pgMar w:header="961" w:footer="0" w:top="1240" w:bottom="280" w:left="620" w:right="600"/>
        </w:sectPr>
      </w:pPr>
    </w:p>
    <w:p>
      <w:pPr>
        <w:pStyle w:val="BodyText"/>
        <w:spacing w:line="20" w:lineRule="exact"/>
        <w:ind w:left="204"/>
        <w:rPr>
          <w:rFonts w:ascii="メイリオ"/>
          <w:sz w:val="2"/>
        </w:rPr>
      </w:pPr>
      <w:r>
        <w:rPr>
          <w:rFonts w:ascii="メイリオ"/>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rFonts w:ascii="メイリオ"/>
          <w:sz w:val="2"/>
        </w:rPr>
      </w:r>
    </w:p>
    <w:p>
      <w:pPr>
        <w:pStyle w:val="ListParagraph"/>
        <w:numPr>
          <w:ilvl w:val="0"/>
          <w:numId w:val="132"/>
        </w:numPr>
        <w:tabs>
          <w:tab w:pos="955" w:val="left" w:leader="none"/>
        </w:tabs>
        <w:spacing w:line="276" w:lineRule="auto" w:before="66" w:after="0"/>
        <w:ind w:left="726" w:right="698" w:firstLine="0"/>
        <w:jc w:val="both"/>
        <w:rPr>
          <w:sz w:val="20"/>
        </w:rPr>
      </w:pPr>
      <w:r>
        <w:rPr>
          <w:sz w:val="20"/>
        </w:rPr>
        <w:t>Her veri sahibi, kendisi ile alakalı kişisel verilerin işlenmesinin bu Tüzük’ü ihlal ettiğini değerlendirmesi durumunda, başka bir idari veya adli çözüm yoluna halel gelmeksizin, mutat meskeninin, iş yerinin veya iddia edilen ihlalin olduğu yerdeki üye devletteki başta olmak üzere bir denetim makamına şikayette bulunma hakkına</w:t>
      </w:r>
      <w:r>
        <w:rPr>
          <w:spacing w:val="-3"/>
          <w:sz w:val="20"/>
        </w:rPr>
        <w:t> </w:t>
      </w:r>
      <w:r>
        <w:rPr>
          <w:sz w:val="20"/>
        </w:rPr>
        <w:t>sahiptir.</w:t>
      </w:r>
    </w:p>
    <w:p>
      <w:pPr>
        <w:pStyle w:val="BodyText"/>
        <w:rPr>
          <w:sz w:val="22"/>
        </w:rPr>
      </w:pPr>
    </w:p>
    <w:p>
      <w:pPr>
        <w:pStyle w:val="BodyText"/>
        <w:spacing w:before="10"/>
        <w:rPr>
          <w:sz w:val="24"/>
        </w:rPr>
      </w:pPr>
    </w:p>
    <w:p>
      <w:pPr>
        <w:pStyle w:val="ListParagraph"/>
        <w:numPr>
          <w:ilvl w:val="0"/>
          <w:numId w:val="132"/>
        </w:numPr>
        <w:tabs>
          <w:tab w:pos="1140" w:val="left" w:leader="none"/>
        </w:tabs>
        <w:spacing w:line="276" w:lineRule="auto" w:before="0" w:after="0"/>
        <w:ind w:left="726" w:right="702" w:firstLine="0"/>
        <w:jc w:val="both"/>
        <w:rPr>
          <w:sz w:val="20"/>
        </w:rPr>
      </w:pPr>
      <w:r>
        <w:rPr>
          <w:sz w:val="20"/>
        </w:rPr>
        <w:t>Şikayetin yapıldığı denetim makamı 78. madde uyarınca bir adli çözüm yolu olanağı da dahil olmak üzere şikayetin seyri ve sonucu ile ilgili olarak şikayet sahibini</w:t>
      </w:r>
      <w:r>
        <w:rPr>
          <w:spacing w:val="-6"/>
          <w:sz w:val="20"/>
        </w:rPr>
        <w:t> </w:t>
      </w:r>
      <w:r>
        <w:rPr>
          <w:sz w:val="20"/>
        </w:rPr>
        <w:t>bilgilendirir.</w:t>
      </w:r>
    </w:p>
    <w:p>
      <w:pPr>
        <w:pStyle w:val="BodyText"/>
        <w:rPr>
          <w:sz w:val="22"/>
        </w:rPr>
      </w:pPr>
    </w:p>
    <w:p>
      <w:pPr>
        <w:pStyle w:val="BodyText"/>
        <w:spacing w:before="5"/>
        <w:rPr>
          <w:sz w:val="24"/>
        </w:rPr>
      </w:pPr>
    </w:p>
    <w:p>
      <w:pPr>
        <w:pStyle w:val="BodyText"/>
        <w:spacing w:line="276" w:lineRule="auto"/>
        <w:ind w:left="5035" w:right="5053"/>
        <w:jc w:val="center"/>
      </w:pPr>
      <w:r>
        <w:rPr/>
        <w:t>Madde 78</w:t>
      </w:r>
    </w:p>
    <w:p>
      <w:pPr>
        <w:pStyle w:val="BodyText"/>
        <w:rPr>
          <w:sz w:val="22"/>
        </w:rPr>
      </w:pPr>
    </w:p>
    <w:p>
      <w:pPr>
        <w:pStyle w:val="BodyText"/>
        <w:spacing w:before="1"/>
        <w:rPr>
          <w:sz w:val="24"/>
        </w:rPr>
      </w:pPr>
    </w:p>
    <w:p>
      <w:pPr>
        <w:pStyle w:val="Heading1"/>
        <w:spacing w:line="276" w:lineRule="auto"/>
        <w:ind w:left="2928" w:right="2952"/>
      </w:pPr>
      <w:r>
        <w:rPr/>
        <w:t>Bir denetim makamına karşı etkili bir kanun yoluna başvurma hakkı</w:t>
      </w:r>
    </w:p>
    <w:p>
      <w:pPr>
        <w:pStyle w:val="BodyText"/>
        <w:rPr>
          <w:b/>
          <w:sz w:val="22"/>
        </w:rPr>
      </w:pPr>
    </w:p>
    <w:p>
      <w:pPr>
        <w:pStyle w:val="BodyText"/>
        <w:spacing w:before="8"/>
        <w:rPr>
          <w:b/>
          <w:sz w:val="24"/>
        </w:rPr>
      </w:pPr>
    </w:p>
    <w:p>
      <w:pPr>
        <w:pStyle w:val="ListParagraph"/>
        <w:numPr>
          <w:ilvl w:val="0"/>
          <w:numId w:val="133"/>
        </w:numPr>
        <w:tabs>
          <w:tab w:pos="972" w:val="left" w:leader="none"/>
        </w:tabs>
        <w:spacing w:line="276" w:lineRule="auto" w:before="0" w:after="0"/>
        <w:ind w:left="726" w:right="695" w:firstLine="0"/>
        <w:jc w:val="both"/>
        <w:rPr>
          <w:sz w:val="20"/>
        </w:rPr>
      </w:pPr>
      <w:r>
        <w:rPr>
          <w:sz w:val="20"/>
        </w:rPr>
        <w:t>Başka bir idari veya adli olmayan çözüm yoluna halel gelmeksizin, her gerçek veya tüzel kişinin bir denetim makamının kendileriyle ilgili yasal bağlayıcılığı olan bir kararına karşı etkili bir kanun yoluna başvurma hakkı</w:t>
      </w:r>
      <w:r>
        <w:rPr>
          <w:spacing w:val="-3"/>
          <w:sz w:val="20"/>
        </w:rPr>
        <w:t> </w:t>
      </w:r>
      <w:r>
        <w:rPr>
          <w:sz w:val="20"/>
        </w:rPr>
        <w:t>vardır.</w:t>
      </w:r>
    </w:p>
    <w:p>
      <w:pPr>
        <w:pStyle w:val="BodyText"/>
        <w:rPr>
          <w:sz w:val="22"/>
        </w:rPr>
      </w:pPr>
    </w:p>
    <w:p>
      <w:pPr>
        <w:pStyle w:val="BodyText"/>
        <w:spacing w:before="9"/>
        <w:rPr>
          <w:sz w:val="24"/>
        </w:rPr>
      </w:pPr>
    </w:p>
    <w:p>
      <w:pPr>
        <w:pStyle w:val="ListParagraph"/>
        <w:numPr>
          <w:ilvl w:val="0"/>
          <w:numId w:val="133"/>
        </w:numPr>
        <w:tabs>
          <w:tab w:pos="1140" w:val="left" w:leader="none"/>
        </w:tabs>
        <w:spacing w:line="276" w:lineRule="auto" w:before="1" w:after="0"/>
        <w:ind w:left="726" w:right="692" w:firstLine="0"/>
        <w:jc w:val="both"/>
        <w:rPr>
          <w:sz w:val="20"/>
        </w:rPr>
      </w:pPr>
      <w:r>
        <w:rPr>
          <w:sz w:val="20"/>
        </w:rPr>
        <w:t>55 ve 56. maddeler uyarınca yetkin olan denetim makamının üç ay içerisinde bir şikayeti ele almadığı veya 77. madde uyarınca yapılan şikayetin seyri veya sonucu hakkında veri sahibini bilgilendirmediği hallerde, her veri sahibinin, başka bir idari veya adli olmayan çözüm yoluna halel gelmeksizin, etkili bir kanun yoluna başvurma hakkı</w:t>
      </w:r>
      <w:r>
        <w:rPr>
          <w:spacing w:val="-5"/>
          <w:sz w:val="20"/>
        </w:rPr>
        <w:t> </w:t>
      </w:r>
      <w:r>
        <w:rPr>
          <w:sz w:val="20"/>
        </w:rPr>
        <w:t>bulunur.</w:t>
      </w:r>
    </w:p>
    <w:p>
      <w:pPr>
        <w:pStyle w:val="BodyText"/>
        <w:rPr>
          <w:sz w:val="22"/>
        </w:rPr>
      </w:pPr>
    </w:p>
    <w:p>
      <w:pPr>
        <w:pStyle w:val="BodyText"/>
        <w:spacing w:before="9"/>
        <w:rPr>
          <w:sz w:val="24"/>
        </w:rPr>
      </w:pPr>
    </w:p>
    <w:p>
      <w:pPr>
        <w:pStyle w:val="ListParagraph"/>
        <w:numPr>
          <w:ilvl w:val="0"/>
          <w:numId w:val="133"/>
        </w:numPr>
        <w:tabs>
          <w:tab w:pos="1140" w:val="left" w:leader="none"/>
        </w:tabs>
        <w:spacing w:line="276" w:lineRule="auto" w:before="0" w:after="0"/>
        <w:ind w:left="726" w:right="693" w:firstLine="0"/>
        <w:jc w:val="both"/>
        <w:rPr>
          <w:sz w:val="20"/>
        </w:rPr>
      </w:pPr>
      <w:r>
        <w:rPr>
          <w:sz w:val="20"/>
        </w:rPr>
        <w:t>Bir denetim makamına karşı açılacak davalar denetim makamının kurulu bulunduğu üye devlet mahkemelerinde</w:t>
      </w:r>
      <w:r>
        <w:rPr>
          <w:spacing w:val="-1"/>
          <w:sz w:val="20"/>
        </w:rPr>
        <w:t> </w:t>
      </w:r>
      <w:r>
        <w:rPr>
          <w:sz w:val="20"/>
        </w:rPr>
        <w:t>açılır.</w:t>
      </w:r>
    </w:p>
    <w:p>
      <w:pPr>
        <w:pStyle w:val="BodyText"/>
        <w:rPr>
          <w:sz w:val="22"/>
        </w:rPr>
      </w:pPr>
    </w:p>
    <w:p>
      <w:pPr>
        <w:pStyle w:val="BodyText"/>
        <w:rPr>
          <w:sz w:val="24"/>
        </w:rPr>
      </w:pPr>
    </w:p>
    <w:p>
      <w:pPr>
        <w:pStyle w:val="ListParagraph"/>
        <w:numPr>
          <w:ilvl w:val="0"/>
          <w:numId w:val="133"/>
        </w:numPr>
        <w:tabs>
          <w:tab w:pos="1140" w:val="left" w:leader="none"/>
        </w:tabs>
        <w:spacing w:line="276" w:lineRule="auto" w:before="1" w:after="0"/>
        <w:ind w:left="726" w:right="698" w:firstLine="0"/>
        <w:jc w:val="both"/>
        <w:rPr>
          <w:sz w:val="20"/>
        </w:rPr>
      </w:pPr>
      <w:r>
        <w:rPr>
          <w:sz w:val="20"/>
        </w:rPr>
        <w:t>Kurul’un tutarlılık mekanizmasındaki bir görüşü veya kararından sonra bir denetim makamının bir kararına karşı davaların açıldığı hallerde, denetim makamı söz konusu görüş veya kararı mahkemeye sevk</w:t>
      </w:r>
      <w:r>
        <w:rPr>
          <w:spacing w:val="1"/>
          <w:sz w:val="20"/>
        </w:rPr>
        <w:t> </w:t>
      </w:r>
      <w:r>
        <w:rPr>
          <w:sz w:val="20"/>
        </w:rPr>
        <w:t>eder.</w:t>
      </w:r>
    </w:p>
    <w:p>
      <w:pPr>
        <w:pStyle w:val="BodyText"/>
        <w:spacing w:line="276" w:lineRule="auto" w:before="1"/>
        <w:ind w:left="5035" w:right="5053"/>
        <w:jc w:val="center"/>
      </w:pPr>
      <w:r>
        <w:rPr/>
        <w:t>Madde 79</w:t>
      </w:r>
    </w:p>
    <w:p>
      <w:pPr>
        <w:pStyle w:val="BodyText"/>
        <w:rPr>
          <w:sz w:val="22"/>
        </w:rPr>
      </w:pPr>
    </w:p>
    <w:p>
      <w:pPr>
        <w:pStyle w:val="BodyText"/>
        <w:spacing w:before="9"/>
        <w:rPr>
          <w:sz w:val="23"/>
        </w:rPr>
      </w:pPr>
    </w:p>
    <w:p>
      <w:pPr>
        <w:pStyle w:val="Heading1"/>
        <w:spacing w:line="276" w:lineRule="auto" w:before="1"/>
        <w:ind w:left="2669" w:right="2689"/>
      </w:pPr>
      <w:r>
        <w:rPr/>
        <w:t>Bir kontrolör veya işleyiciye karşı etkili bir kanun yoluna başvurma hakkı</w:t>
      </w:r>
    </w:p>
    <w:p>
      <w:pPr>
        <w:pStyle w:val="BodyText"/>
        <w:spacing w:before="3"/>
        <w:rPr>
          <w:b/>
          <w:sz w:val="23"/>
        </w:rPr>
      </w:pPr>
    </w:p>
    <w:p>
      <w:pPr>
        <w:pStyle w:val="ListParagraph"/>
        <w:numPr>
          <w:ilvl w:val="0"/>
          <w:numId w:val="134"/>
        </w:numPr>
        <w:tabs>
          <w:tab w:pos="975" w:val="left" w:leader="none"/>
        </w:tabs>
        <w:spacing w:line="276" w:lineRule="auto" w:before="0" w:after="0"/>
        <w:ind w:left="726" w:right="694" w:firstLine="0"/>
        <w:jc w:val="both"/>
        <w:rPr>
          <w:sz w:val="20"/>
        </w:rPr>
      </w:pPr>
      <w:r>
        <w:rPr>
          <w:sz w:val="20"/>
        </w:rPr>
        <w:t>Kişisel verilerinin bu Tüzük’e aykırı bir şekilde işlenmesi sonucu bu Tüzük kapsamındaki haklarının ihlal edildiğini değerlendirdiği hallerde, 77. madde uyarınca bir denetim makamına şikayette bulunma hakkı da dahil olmak üzere mevcut idari veya adli olmayan çözüm yollarına halel gelmeksizin, her veri sahibi etkili bir kanun yoluna başvurma hakkına</w:t>
      </w:r>
      <w:r>
        <w:rPr>
          <w:spacing w:val="-10"/>
          <w:sz w:val="20"/>
        </w:rPr>
        <w:t> </w:t>
      </w:r>
      <w:r>
        <w:rPr>
          <w:sz w:val="20"/>
        </w:rPr>
        <w:t>sahiptir.</w:t>
      </w:r>
    </w:p>
    <w:p>
      <w:pPr>
        <w:pStyle w:val="BodyText"/>
        <w:rPr>
          <w:sz w:val="22"/>
        </w:rPr>
      </w:pPr>
    </w:p>
    <w:p>
      <w:pPr>
        <w:pStyle w:val="BodyText"/>
        <w:rPr>
          <w:sz w:val="24"/>
        </w:rPr>
      </w:pPr>
    </w:p>
    <w:p>
      <w:pPr>
        <w:pStyle w:val="ListParagraph"/>
        <w:numPr>
          <w:ilvl w:val="0"/>
          <w:numId w:val="134"/>
        </w:numPr>
        <w:tabs>
          <w:tab w:pos="1008" w:val="left" w:leader="none"/>
        </w:tabs>
        <w:spacing w:line="276" w:lineRule="auto" w:before="0" w:after="0"/>
        <w:ind w:left="726" w:right="696" w:firstLine="0"/>
        <w:jc w:val="both"/>
        <w:rPr>
          <w:sz w:val="20"/>
        </w:rPr>
      </w:pPr>
      <w:r>
        <w:rPr>
          <w:sz w:val="20"/>
        </w:rPr>
        <w:t>Bir kontrolör veya bir işleyiciye karşı açılacak davalar kontrolör veya işleyicinin bir işletmesinin bulunduğu üye devletin mahkemelerinde açılır. Alternatif olarak, kontrolörün veya işleyicinin bir üye devletin kamu yetkilerinin kullanımı ile ilgili olarak hareket eden bir kamu kuruluşu olması</w:t>
      </w:r>
      <w:r>
        <w:rPr>
          <w:spacing w:val="-35"/>
          <w:sz w:val="20"/>
        </w:rPr>
        <w:t> </w:t>
      </w:r>
      <w:r>
        <w:rPr>
          <w:sz w:val="20"/>
        </w:rPr>
        <w:t>haricinde,</w:t>
      </w:r>
    </w:p>
    <w:p>
      <w:pPr>
        <w:pStyle w:val="BodyText"/>
        <w:rPr>
          <w:sz w:val="23"/>
        </w:rPr>
      </w:pPr>
    </w:p>
    <w:p>
      <w:pPr>
        <w:pStyle w:val="BodyText"/>
        <w:ind w:left="726"/>
        <w:jc w:val="both"/>
      </w:pPr>
      <w:r>
        <w:rPr/>
        <w:t>böylesi davalar veri sahibinin mutat meskeninin bulunduğu üye devletin mahkemelerinde açılabilir.</w:t>
      </w:r>
    </w:p>
    <w:p>
      <w:pPr>
        <w:pStyle w:val="BodyText"/>
        <w:spacing w:before="2"/>
        <w:rPr>
          <w:sz w:val="23"/>
        </w:rPr>
      </w:pPr>
      <w:r>
        <w:rPr/>
        <w:pict>
          <v:line style="position:absolute;mso-position-horizontal-relative:page;mso-position-vertical-relative:paragraph;z-index:2584;mso-wrap-distance-left:0;mso-wrap-distance-right:0" from="36pt,15.67979pt" to="560.16pt,15.67979pt" stroked="true" strokeweight=".72003pt" strokecolor="#000000">
            <v:stroke dashstyle="solid"/>
            <w10:wrap type="topAndBottom"/>
          </v:line>
        </w:pict>
      </w:r>
    </w:p>
    <w:p>
      <w:pPr>
        <w:spacing w:after="0"/>
        <w:rPr>
          <w:sz w:val="23"/>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before="7"/>
        <w:rPr>
          <w:sz w:val="23"/>
        </w:rPr>
      </w:pPr>
    </w:p>
    <w:p>
      <w:pPr>
        <w:pStyle w:val="BodyText"/>
        <w:spacing w:line="278" w:lineRule="auto" w:before="93"/>
        <w:ind w:left="5035" w:right="5053"/>
        <w:jc w:val="center"/>
      </w:pPr>
      <w:r>
        <w:rPr/>
        <w:t>Madde 80</w:t>
      </w:r>
    </w:p>
    <w:p>
      <w:pPr>
        <w:pStyle w:val="BodyText"/>
        <w:rPr>
          <w:sz w:val="22"/>
        </w:rPr>
      </w:pPr>
    </w:p>
    <w:p>
      <w:pPr>
        <w:pStyle w:val="BodyText"/>
        <w:spacing w:before="7"/>
        <w:rPr>
          <w:sz w:val="23"/>
        </w:rPr>
      </w:pPr>
    </w:p>
    <w:p>
      <w:pPr>
        <w:pStyle w:val="Heading1"/>
        <w:ind w:left="2205"/>
      </w:pPr>
      <w:r>
        <w:rPr/>
        <w:t>Veri sahibinin temsili</w:t>
      </w:r>
    </w:p>
    <w:p>
      <w:pPr>
        <w:pStyle w:val="BodyText"/>
        <w:rPr>
          <w:b/>
          <w:sz w:val="22"/>
        </w:rPr>
      </w:pPr>
    </w:p>
    <w:p>
      <w:pPr>
        <w:pStyle w:val="BodyText"/>
        <w:spacing w:before="8"/>
        <w:rPr>
          <w:b/>
          <w:sz w:val="27"/>
        </w:rPr>
      </w:pPr>
    </w:p>
    <w:p>
      <w:pPr>
        <w:pStyle w:val="ListParagraph"/>
        <w:numPr>
          <w:ilvl w:val="0"/>
          <w:numId w:val="135"/>
        </w:numPr>
        <w:tabs>
          <w:tab w:pos="960" w:val="left" w:leader="none"/>
        </w:tabs>
        <w:spacing w:line="276" w:lineRule="auto" w:before="0" w:after="0"/>
        <w:ind w:left="726" w:right="693" w:firstLine="0"/>
        <w:jc w:val="both"/>
        <w:rPr>
          <w:sz w:val="20"/>
        </w:rPr>
      </w:pPr>
      <w:r>
        <w:rPr>
          <w:sz w:val="20"/>
        </w:rPr>
        <w:t>Veri sahibinin bir üye devlet hukuku uyarınca düzgün şekilde kurulmuş bulunan, kamu yararına yasal hedefleri bulunan ve veri sahiplerinin kişisel verilerinin korunmasına ilişkin hakları ve özgürlüklerinin korunması alanında aktif olan kar amacı gütmeyen bir organ, kuruluş veya birliğe şikayeti kendi adına yapma, 77, 78 ve 79. maddelerde atıfta bulunulan hakları kendi adına kullanma ve, üye devlet hukukunda sağlanması koşuluyla, 82. maddede atıfta bulunulan tazminat alma hakkını kullanma yetkisi verme hakkı</w:t>
      </w:r>
      <w:r>
        <w:rPr>
          <w:spacing w:val="-3"/>
          <w:sz w:val="20"/>
        </w:rPr>
        <w:t> </w:t>
      </w:r>
      <w:r>
        <w:rPr>
          <w:sz w:val="20"/>
        </w:rPr>
        <w:t>bulunur.</w:t>
      </w:r>
    </w:p>
    <w:p>
      <w:pPr>
        <w:pStyle w:val="BodyText"/>
        <w:rPr>
          <w:sz w:val="23"/>
        </w:rPr>
      </w:pPr>
    </w:p>
    <w:p>
      <w:pPr>
        <w:pStyle w:val="ListParagraph"/>
        <w:numPr>
          <w:ilvl w:val="0"/>
          <w:numId w:val="135"/>
        </w:numPr>
        <w:tabs>
          <w:tab w:pos="1140" w:val="left" w:leader="none"/>
        </w:tabs>
        <w:spacing w:line="276" w:lineRule="auto" w:before="0" w:after="0"/>
        <w:ind w:left="726" w:right="692" w:firstLine="0"/>
        <w:jc w:val="both"/>
        <w:rPr>
          <w:sz w:val="20"/>
        </w:rPr>
      </w:pPr>
      <w:r>
        <w:rPr>
          <w:sz w:val="20"/>
        </w:rPr>
        <w:t>Üye devletler bu maddenin 1. paragrafında atıfta bulunulan herhangi bir organ, kuruluş veya birliğin, bir veri sahibinin verdiği yetkiden bağımsız olarak, söz konusu üye devlette, 77. madde uyarınca yetkin olan denetim makamına şikayette bulunma ve, bir veri sahibinin bu Tüzük kapsamındaki haklarının işleme faaliyeti sonucu ihlal edilmiş olduğunu değerlendirmesi halinde, 78 ve 79. maddelerde atıfta bulunulan hakları kullanma hakkının bulunmasını</w:t>
      </w:r>
      <w:r>
        <w:rPr>
          <w:spacing w:val="-6"/>
          <w:sz w:val="20"/>
        </w:rPr>
        <w:t> </w:t>
      </w:r>
      <w:r>
        <w:rPr>
          <w:sz w:val="20"/>
        </w:rPr>
        <w:t>sağlayabilir.</w:t>
      </w:r>
    </w:p>
    <w:p>
      <w:pPr>
        <w:pStyle w:val="BodyText"/>
        <w:rPr>
          <w:sz w:val="22"/>
        </w:rPr>
      </w:pPr>
    </w:p>
    <w:p>
      <w:pPr>
        <w:pStyle w:val="BodyText"/>
        <w:spacing w:before="4"/>
        <w:rPr>
          <w:sz w:val="24"/>
        </w:rPr>
      </w:pPr>
    </w:p>
    <w:p>
      <w:pPr>
        <w:pStyle w:val="BodyText"/>
        <w:spacing w:line="278" w:lineRule="auto"/>
        <w:ind w:left="5035" w:right="5053"/>
        <w:jc w:val="center"/>
      </w:pPr>
      <w:r>
        <w:rPr/>
        <w:t>Madde 81</w:t>
      </w:r>
    </w:p>
    <w:p>
      <w:pPr>
        <w:pStyle w:val="BodyText"/>
        <w:rPr>
          <w:sz w:val="22"/>
        </w:rPr>
      </w:pPr>
    </w:p>
    <w:p>
      <w:pPr>
        <w:pStyle w:val="BodyText"/>
        <w:spacing w:before="7"/>
        <w:rPr>
          <w:sz w:val="23"/>
        </w:rPr>
      </w:pPr>
    </w:p>
    <w:p>
      <w:pPr>
        <w:pStyle w:val="Heading1"/>
        <w:spacing w:before="1"/>
        <w:ind w:left="2203"/>
      </w:pPr>
      <w:r>
        <w:rPr/>
        <w:t>Davanın ertelenmesi</w:t>
      </w:r>
    </w:p>
    <w:p>
      <w:pPr>
        <w:pStyle w:val="BodyText"/>
        <w:rPr>
          <w:b/>
          <w:sz w:val="22"/>
        </w:rPr>
      </w:pPr>
    </w:p>
    <w:p>
      <w:pPr>
        <w:pStyle w:val="BodyText"/>
        <w:spacing w:before="8"/>
        <w:rPr>
          <w:b/>
          <w:sz w:val="27"/>
        </w:rPr>
      </w:pPr>
    </w:p>
    <w:p>
      <w:pPr>
        <w:pStyle w:val="ListParagraph"/>
        <w:numPr>
          <w:ilvl w:val="0"/>
          <w:numId w:val="136"/>
        </w:numPr>
        <w:tabs>
          <w:tab w:pos="960" w:val="left" w:leader="none"/>
        </w:tabs>
        <w:spacing w:line="276" w:lineRule="auto" w:before="0" w:after="0"/>
        <w:ind w:left="726" w:right="689" w:firstLine="0"/>
        <w:jc w:val="both"/>
        <w:rPr>
          <w:sz w:val="20"/>
        </w:rPr>
      </w:pPr>
      <w:r>
        <w:rPr>
          <w:sz w:val="20"/>
        </w:rPr>
        <w:t>Bir üye devletin yetkin mahkemelerinden birinin aynı kontrolör veya işleyici tarafından gerçekleştirilen bir işleme faaliyeti ile ilgili olarak aynı konu hakkında başka bir üye devletteki bir mahkemede devam eden bir davanın bulunduğu yönünde bilgisinin olduğu hallerde, söz konusu yetkin mahkeme böylesi bir davanın varlığını teyit etmek üzere diğer üye devletteki mahkemeyle irtibat</w:t>
      </w:r>
      <w:r>
        <w:rPr>
          <w:spacing w:val="-7"/>
          <w:sz w:val="20"/>
        </w:rPr>
        <w:t> </w:t>
      </w:r>
      <w:r>
        <w:rPr>
          <w:sz w:val="20"/>
        </w:rPr>
        <w:t>kurar.</w:t>
      </w:r>
    </w:p>
    <w:p>
      <w:pPr>
        <w:pStyle w:val="BodyText"/>
        <w:rPr>
          <w:sz w:val="22"/>
        </w:rPr>
      </w:pPr>
    </w:p>
    <w:p>
      <w:pPr>
        <w:pStyle w:val="BodyText"/>
        <w:spacing w:before="9"/>
        <w:rPr>
          <w:sz w:val="24"/>
        </w:rPr>
      </w:pPr>
    </w:p>
    <w:p>
      <w:pPr>
        <w:pStyle w:val="ListParagraph"/>
        <w:numPr>
          <w:ilvl w:val="0"/>
          <w:numId w:val="136"/>
        </w:numPr>
        <w:tabs>
          <w:tab w:pos="1140" w:val="left" w:leader="none"/>
        </w:tabs>
        <w:spacing w:line="276" w:lineRule="auto" w:before="0" w:after="0"/>
        <w:ind w:left="726" w:right="702" w:firstLine="0"/>
        <w:jc w:val="both"/>
        <w:rPr>
          <w:sz w:val="20"/>
        </w:rPr>
      </w:pPr>
      <w:r>
        <w:rPr>
          <w:sz w:val="20"/>
        </w:rPr>
        <w:t>Aynı kontrolör veya işleyicinin bir işleme faaliyeti ile ilgili olarak aynı konu hakkındaki bir davanın başka bir üye devletteki bir mahkemede devam ettiği hallerde, davayı ilk ele alan mahkeme haricindeki yetkin bir mahkeme davasını</w:t>
      </w:r>
      <w:r>
        <w:rPr>
          <w:spacing w:val="-5"/>
          <w:sz w:val="20"/>
        </w:rPr>
        <w:t> </w:t>
      </w:r>
      <w:r>
        <w:rPr>
          <w:sz w:val="20"/>
        </w:rPr>
        <w:t>erteleyebilir.</w:t>
      </w:r>
    </w:p>
    <w:p>
      <w:pPr>
        <w:pStyle w:val="BodyText"/>
        <w:rPr>
          <w:sz w:val="22"/>
        </w:rPr>
      </w:pPr>
    </w:p>
    <w:p>
      <w:pPr>
        <w:pStyle w:val="BodyText"/>
        <w:spacing w:before="8"/>
        <w:rPr>
          <w:sz w:val="24"/>
        </w:rPr>
      </w:pPr>
    </w:p>
    <w:p>
      <w:pPr>
        <w:pStyle w:val="ListParagraph"/>
        <w:numPr>
          <w:ilvl w:val="0"/>
          <w:numId w:val="136"/>
        </w:numPr>
        <w:tabs>
          <w:tab w:pos="989" w:val="left" w:leader="none"/>
        </w:tabs>
        <w:spacing w:line="276" w:lineRule="auto" w:before="0" w:after="0"/>
        <w:ind w:left="726" w:right="696" w:firstLine="0"/>
        <w:jc w:val="both"/>
        <w:rPr>
          <w:sz w:val="20"/>
        </w:rPr>
      </w:pPr>
      <w:r>
        <w:rPr>
          <w:sz w:val="20"/>
        </w:rPr>
        <w:t>Bu davanın ilk derece mahkemesinde devam ettiği hallerde, davayı ilk ele alan mahkemenin söz konusu davalara ilişkin yargı yetkisinin bulunması ve hukukunun davaların birleştirilmesine olanak tanıması halinde, davayı ilk ele alan mahkeme haricindeki herhangi bir mahkeme, taraflardan birinin başvurusu üzerine, yetkisizlik kararı verebilir.</w:t>
      </w:r>
    </w:p>
    <w:p>
      <w:pPr>
        <w:pStyle w:val="BodyText"/>
        <w:rPr>
          <w:sz w:val="22"/>
        </w:rPr>
      </w:pPr>
    </w:p>
    <w:p>
      <w:pPr>
        <w:pStyle w:val="BodyText"/>
        <w:spacing w:before="4"/>
        <w:rPr>
          <w:sz w:val="24"/>
        </w:rPr>
      </w:pPr>
    </w:p>
    <w:p>
      <w:pPr>
        <w:pStyle w:val="BodyText"/>
        <w:spacing w:line="276" w:lineRule="auto"/>
        <w:ind w:left="5035" w:right="5053"/>
        <w:jc w:val="center"/>
      </w:pPr>
      <w:r>
        <w:rPr/>
        <w:t>Madde 82</w:t>
      </w:r>
    </w:p>
    <w:p>
      <w:pPr>
        <w:pStyle w:val="BodyText"/>
        <w:rPr>
          <w:sz w:val="22"/>
        </w:rPr>
      </w:pPr>
    </w:p>
    <w:p>
      <w:pPr>
        <w:pStyle w:val="BodyText"/>
        <w:spacing w:before="10"/>
        <w:rPr>
          <w:sz w:val="23"/>
        </w:rPr>
      </w:pPr>
    </w:p>
    <w:p>
      <w:pPr>
        <w:pStyle w:val="Heading1"/>
        <w:ind w:right="2225"/>
      </w:pPr>
      <w:r>
        <w:rPr/>
        <w:t>Tazminat hakkı ve sorumluluk</w:t>
      </w:r>
    </w:p>
    <w:p>
      <w:pPr>
        <w:pStyle w:val="BodyText"/>
        <w:rPr>
          <w:b/>
          <w:sz w:val="22"/>
        </w:rPr>
      </w:pPr>
    </w:p>
    <w:p>
      <w:pPr>
        <w:pStyle w:val="BodyText"/>
        <w:spacing w:before="8"/>
        <w:rPr>
          <w:b/>
          <w:sz w:val="27"/>
        </w:rPr>
      </w:pPr>
    </w:p>
    <w:p>
      <w:pPr>
        <w:pStyle w:val="ListParagraph"/>
        <w:numPr>
          <w:ilvl w:val="0"/>
          <w:numId w:val="137"/>
        </w:numPr>
        <w:tabs>
          <w:tab w:pos="1139" w:val="left" w:leader="none"/>
          <w:tab w:pos="1140" w:val="left" w:leader="none"/>
        </w:tabs>
        <w:spacing w:line="552" w:lineRule="auto" w:before="0" w:after="0"/>
        <w:ind w:left="726" w:right="825" w:firstLine="0"/>
        <w:jc w:val="left"/>
        <w:rPr>
          <w:sz w:val="20"/>
        </w:rPr>
      </w:pPr>
      <w:r>
        <w:rPr>
          <w:sz w:val="20"/>
        </w:rPr>
        <w:t>Bu</w:t>
      </w:r>
      <w:r>
        <w:rPr>
          <w:spacing w:val="-5"/>
          <w:sz w:val="20"/>
        </w:rPr>
        <w:t> </w:t>
      </w:r>
      <w:r>
        <w:rPr>
          <w:sz w:val="20"/>
        </w:rPr>
        <w:t>Tüzük’e</w:t>
      </w:r>
      <w:r>
        <w:rPr>
          <w:spacing w:val="-4"/>
          <w:sz w:val="20"/>
        </w:rPr>
        <w:t> </w:t>
      </w:r>
      <w:r>
        <w:rPr>
          <w:sz w:val="20"/>
        </w:rPr>
        <w:t>ilişkin</w:t>
      </w:r>
      <w:r>
        <w:rPr>
          <w:spacing w:val="-5"/>
          <w:sz w:val="20"/>
        </w:rPr>
        <w:t> </w:t>
      </w:r>
      <w:r>
        <w:rPr>
          <w:sz w:val="20"/>
        </w:rPr>
        <w:t>bir</w:t>
      </w:r>
      <w:r>
        <w:rPr>
          <w:spacing w:val="-4"/>
          <w:sz w:val="20"/>
        </w:rPr>
        <w:t> </w:t>
      </w:r>
      <w:r>
        <w:rPr>
          <w:sz w:val="20"/>
        </w:rPr>
        <w:t>ihlal</w:t>
      </w:r>
      <w:r>
        <w:rPr>
          <w:spacing w:val="-6"/>
          <w:sz w:val="20"/>
        </w:rPr>
        <w:t> </w:t>
      </w:r>
      <w:r>
        <w:rPr>
          <w:sz w:val="20"/>
        </w:rPr>
        <w:t>sonucu</w:t>
      </w:r>
      <w:r>
        <w:rPr>
          <w:spacing w:val="-5"/>
          <w:sz w:val="20"/>
        </w:rPr>
        <w:t> </w:t>
      </w:r>
      <w:r>
        <w:rPr>
          <w:sz w:val="20"/>
        </w:rPr>
        <w:t>maddi</w:t>
      </w:r>
      <w:r>
        <w:rPr>
          <w:spacing w:val="-4"/>
          <w:sz w:val="20"/>
        </w:rPr>
        <w:t> </w:t>
      </w:r>
      <w:r>
        <w:rPr>
          <w:sz w:val="20"/>
        </w:rPr>
        <w:t>veya</w:t>
      </w:r>
      <w:r>
        <w:rPr>
          <w:spacing w:val="-4"/>
          <w:sz w:val="20"/>
        </w:rPr>
        <w:t> </w:t>
      </w:r>
      <w:r>
        <w:rPr>
          <w:sz w:val="20"/>
        </w:rPr>
        <w:t>manevi</w:t>
      </w:r>
      <w:r>
        <w:rPr>
          <w:spacing w:val="-4"/>
          <w:sz w:val="20"/>
        </w:rPr>
        <w:t> </w:t>
      </w:r>
      <w:r>
        <w:rPr>
          <w:sz w:val="20"/>
        </w:rPr>
        <w:t>zarar</w:t>
      </w:r>
      <w:r>
        <w:rPr>
          <w:spacing w:val="-4"/>
          <w:sz w:val="20"/>
        </w:rPr>
        <w:t> </w:t>
      </w:r>
      <w:r>
        <w:rPr>
          <w:sz w:val="20"/>
        </w:rPr>
        <w:t>gören</w:t>
      </w:r>
      <w:r>
        <w:rPr>
          <w:spacing w:val="-4"/>
          <w:sz w:val="20"/>
        </w:rPr>
        <w:t> </w:t>
      </w:r>
      <w:r>
        <w:rPr>
          <w:sz w:val="20"/>
        </w:rPr>
        <w:t>herhangi</w:t>
      </w:r>
      <w:r>
        <w:rPr>
          <w:spacing w:val="-6"/>
          <w:sz w:val="20"/>
        </w:rPr>
        <w:t> </w:t>
      </w:r>
      <w:r>
        <w:rPr>
          <w:spacing w:val="1"/>
          <w:sz w:val="20"/>
        </w:rPr>
        <w:t>bir</w:t>
      </w:r>
      <w:r>
        <w:rPr>
          <w:spacing w:val="-4"/>
          <w:sz w:val="20"/>
        </w:rPr>
        <w:t> </w:t>
      </w:r>
      <w:r>
        <w:rPr>
          <w:sz w:val="20"/>
        </w:rPr>
        <w:t>kişi,</w:t>
      </w:r>
      <w:r>
        <w:rPr>
          <w:spacing w:val="-4"/>
          <w:sz w:val="20"/>
        </w:rPr>
        <w:t> </w:t>
      </w:r>
      <w:r>
        <w:rPr>
          <w:sz w:val="20"/>
        </w:rPr>
        <w:t>yaşanan</w:t>
      </w:r>
      <w:r>
        <w:rPr>
          <w:spacing w:val="-4"/>
          <w:sz w:val="20"/>
        </w:rPr>
        <w:t> </w:t>
      </w:r>
      <w:r>
        <w:rPr>
          <w:sz w:val="20"/>
        </w:rPr>
        <w:t>zarara ilişkin olarak kontrolör veya işleyiciden tazminat alma hakkına</w:t>
      </w:r>
      <w:r>
        <w:rPr>
          <w:spacing w:val="-9"/>
          <w:sz w:val="20"/>
        </w:rPr>
        <w:t> </w:t>
      </w:r>
      <w:r>
        <w:rPr>
          <w:sz w:val="20"/>
        </w:rPr>
        <w:t>sahiptir.</w:t>
      </w:r>
    </w:p>
    <w:p>
      <w:pPr>
        <w:spacing w:after="0" w:line="552" w:lineRule="auto"/>
        <w:jc w:val="left"/>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137"/>
        </w:numPr>
        <w:tabs>
          <w:tab w:pos="996" w:val="left" w:leader="none"/>
        </w:tabs>
        <w:spacing w:line="276" w:lineRule="auto" w:before="66" w:after="0"/>
        <w:ind w:left="726" w:right="696" w:firstLine="0"/>
        <w:jc w:val="both"/>
        <w:rPr>
          <w:sz w:val="20"/>
        </w:rPr>
      </w:pPr>
      <w:r>
        <w:rPr>
          <w:sz w:val="20"/>
        </w:rPr>
        <w:t>İşleme faaliyetine müdahil herhangi bir kontrolör bu Tüzük’ü ihlal eden işleme faaliyetinin sebep olduğu zarardan sorumludur. Bir işleyici, ancak bu Tüzük’ün özellikle işleyicilere yönelik yükümlülüklerine uyum göstermediği veya kontrolörün hukuka uygun talimatları dışında veya bu talimatlara aykırı hareket ettiği hallerde, işleme faaliyetinin sebep olduğu zarardan</w:t>
      </w:r>
      <w:r>
        <w:rPr>
          <w:spacing w:val="-8"/>
          <w:sz w:val="20"/>
        </w:rPr>
        <w:t> </w:t>
      </w:r>
      <w:r>
        <w:rPr>
          <w:sz w:val="20"/>
        </w:rPr>
        <w:t>sorumludur.</w:t>
      </w:r>
    </w:p>
    <w:p>
      <w:pPr>
        <w:pStyle w:val="BodyText"/>
        <w:spacing w:before="1"/>
        <w:rPr>
          <w:sz w:val="23"/>
        </w:rPr>
      </w:pPr>
    </w:p>
    <w:p>
      <w:pPr>
        <w:pStyle w:val="ListParagraph"/>
        <w:numPr>
          <w:ilvl w:val="0"/>
          <w:numId w:val="137"/>
        </w:numPr>
        <w:tabs>
          <w:tab w:pos="1140" w:val="left" w:leader="none"/>
        </w:tabs>
        <w:spacing w:line="276" w:lineRule="auto" w:before="0" w:after="0"/>
        <w:ind w:left="726" w:right="700" w:firstLine="0"/>
        <w:jc w:val="both"/>
        <w:rPr>
          <w:sz w:val="20"/>
        </w:rPr>
      </w:pPr>
      <w:r>
        <w:rPr>
          <w:sz w:val="20"/>
        </w:rPr>
        <w:t>Zarara sebep olan olaydan hiçbir şekilde sorumlu olmadığını kanıtlaması halinde, bir kontrolör veya işleyici bu sorumluluktan</w:t>
      </w:r>
      <w:r>
        <w:rPr>
          <w:spacing w:val="-4"/>
          <w:sz w:val="20"/>
        </w:rPr>
        <w:t> </w:t>
      </w:r>
      <w:r>
        <w:rPr>
          <w:sz w:val="20"/>
        </w:rPr>
        <w:t>muaftır.</w:t>
      </w:r>
    </w:p>
    <w:p>
      <w:pPr>
        <w:pStyle w:val="BodyText"/>
        <w:rPr>
          <w:sz w:val="23"/>
        </w:rPr>
      </w:pPr>
    </w:p>
    <w:p>
      <w:pPr>
        <w:pStyle w:val="ListParagraph"/>
        <w:numPr>
          <w:ilvl w:val="0"/>
          <w:numId w:val="137"/>
        </w:numPr>
        <w:tabs>
          <w:tab w:pos="1003" w:val="left" w:leader="none"/>
        </w:tabs>
        <w:spacing w:line="276" w:lineRule="auto" w:before="1" w:after="0"/>
        <w:ind w:left="726" w:right="696" w:firstLine="0"/>
        <w:jc w:val="both"/>
        <w:rPr>
          <w:sz w:val="20"/>
        </w:rPr>
      </w:pPr>
      <w:r>
        <w:rPr>
          <w:sz w:val="20"/>
        </w:rPr>
        <w:t>Birden fazla kontrolör veya işleyicinin ya da hem bir kontrol hem de bir işleyicinin aynı işleme faaliyetinde bulunduğu ve, 2 ve 3. paragraflar çerçevesinde, işleme faaliyetinin sebep olduğu herhangi bir zarardan sorumlu olduğu hallerde, veri sahibinin etkili bir şekilde tazminin sağlanması amacıyla, her kontrolör veya işleyici tüm zarardan sorumlu</w:t>
      </w:r>
      <w:r>
        <w:rPr>
          <w:spacing w:val="-4"/>
          <w:sz w:val="20"/>
        </w:rPr>
        <w:t> </w:t>
      </w:r>
      <w:r>
        <w:rPr>
          <w:sz w:val="20"/>
        </w:rPr>
        <w:t>tutulur.</w:t>
      </w:r>
    </w:p>
    <w:p>
      <w:pPr>
        <w:pStyle w:val="BodyText"/>
        <w:rPr>
          <w:sz w:val="23"/>
        </w:rPr>
      </w:pPr>
    </w:p>
    <w:p>
      <w:pPr>
        <w:pStyle w:val="ListParagraph"/>
        <w:numPr>
          <w:ilvl w:val="0"/>
          <w:numId w:val="137"/>
        </w:numPr>
        <w:tabs>
          <w:tab w:pos="979" w:val="left" w:leader="none"/>
        </w:tabs>
        <w:spacing w:line="276" w:lineRule="auto" w:before="0" w:after="0"/>
        <w:ind w:left="726" w:right="692" w:firstLine="0"/>
        <w:jc w:val="both"/>
        <w:rPr>
          <w:sz w:val="20"/>
        </w:rPr>
      </w:pPr>
      <w:r>
        <w:rPr>
          <w:sz w:val="20"/>
        </w:rPr>
        <w:t>Bir kontrolör veya işleyicinin, 4. paragraf uyarınca, yaşanan zararı eksiksiz bir şekilde tazmin ettiği hallerde, söz konusu kontrolör veya işleyicinin aynı işleme faaliyetine müdahil diğer kontrolörler veya işleyicilerden zarardan sorumlu oldukları kısma tekabül eden tazminat kısmını, 2. paragrafta ortaya konan koşullar uyarınca, isteme hakkı</w:t>
      </w:r>
      <w:r>
        <w:rPr>
          <w:spacing w:val="-6"/>
          <w:sz w:val="20"/>
        </w:rPr>
        <w:t> </w:t>
      </w:r>
      <w:r>
        <w:rPr>
          <w:sz w:val="20"/>
        </w:rPr>
        <w:t>bulunur.</w:t>
      </w:r>
    </w:p>
    <w:p>
      <w:pPr>
        <w:pStyle w:val="BodyText"/>
        <w:rPr>
          <w:sz w:val="22"/>
        </w:rPr>
      </w:pPr>
    </w:p>
    <w:p>
      <w:pPr>
        <w:pStyle w:val="BodyText"/>
        <w:spacing w:before="4"/>
        <w:rPr>
          <w:sz w:val="28"/>
        </w:rPr>
      </w:pPr>
    </w:p>
    <w:p>
      <w:pPr>
        <w:pStyle w:val="ListParagraph"/>
        <w:numPr>
          <w:ilvl w:val="0"/>
          <w:numId w:val="137"/>
        </w:numPr>
        <w:tabs>
          <w:tab w:pos="982" w:val="left" w:leader="none"/>
        </w:tabs>
        <w:spacing w:line="278" w:lineRule="auto" w:before="0" w:after="0"/>
        <w:ind w:left="726" w:right="701" w:firstLine="0"/>
        <w:jc w:val="both"/>
        <w:rPr>
          <w:sz w:val="20"/>
        </w:rPr>
      </w:pPr>
      <w:r>
        <w:rPr>
          <w:sz w:val="20"/>
        </w:rPr>
        <w:t>Tazminat alma hakkının kullanımına ilişkin davalar 79(2) maddesinde atıfta bulunulan üye devletin hukuku çerçevesinde yetkin olan mahkemelerde</w:t>
      </w:r>
      <w:r>
        <w:rPr>
          <w:spacing w:val="-4"/>
          <w:sz w:val="20"/>
        </w:rPr>
        <w:t> </w:t>
      </w:r>
      <w:r>
        <w:rPr>
          <w:sz w:val="20"/>
        </w:rPr>
        <w:t>açılır.</w:t>
      </w:r>
    </w:p>
    <w:p>
      <w:pPr>
        <w:pStyle w:val="BodyText"/>
        <w:rPr>
          <w:sz w:val="22"/>
        </w:rPr>
      </w:pPr>
    </w:p>
    <w:p>
      <w:pPr>
        <w:pStyle w:val="BodyText"/>
        <w:spacing w:before="10"/>
        <w:rPr>
          <w:sz w:val="23"/>
        </w:rPr>
      </w:pPr>
    </w:p>
    <w:p>
      <w:pPr>
        <w:pStyle w:val="BodyText"/>
        <w:spacing w:line="276" w:lineRule="auto"/>
        <w:ind w:left="5035" w:right="5053"/>
        <w:jc w:val="center"/>
      </w:pPr>
      <w:r>
        <w:rPr/>
        <w:t>Madde 83</w:t>
      </w:r>
    </w:p>
    <w:p>
      <w:pPr>
        <w:pStyle w:val="BodyText"/>
        <w:rPr>
          <w:sz w:val="22"/>
        </w:rPr>
      </w:pPr>
    </w:p>
    <w:p>
      <w:pPr>
        <w:pStyle w:val="BodyText"/>
        <w:spacing w:before="10"/>
        <w:rPr>
          <w:sz w:val="23"/>
        </w:rPr>
      </w:pPr>
    </w:p>
    <w:p>
      <w:pPr>
        <w:pStyle w:val="Heading1"/>
        <w:spacing w:line="276" w:lineRule="auto"/>
        <w:ind w:left="3222" w:right="3245"/>
      </w:pPr>
      <w:r>
        <w:rPr/>
        <w:t>İdari para cezaları kesilmesine ilişkin genel koşullar</w:t>
      </w:r>
    </w:p>
    <w:p>
      <w:pPr>
        <w:pStyle w:val="BodyText"/>
        <w:rPr>
          <w:b/>
          <w:sz w:val="22"/>
        </w:rPr>
      </w:pPr>
    </w:p>
    <w:p>
      <w:pPr>
        <w:pStyle w:val="BodyText"/>
        <w:spacing w:before="10"/>
        <w:rPr>
          <w:b/>
          <w:sz w:val="24"/>
        </w:rPr>
      </w:pPr>
    </w:p>
    <w:p>
      <w:pPr>
        <w:pStyle w:val="ListParagraph"/>
        <w:numPr>
          <w:ilvl w:val="0"/>
          <w:numId w:val="138"/>
        </w:numPr>
        <w:tabs>
          <w:tab w:pos="1140" w:val="left" w:leader="none"/>
        </w:tabs>
        <w:spacing w:line="276" w:lineRule="auto" w:before="0" w:after="0"/>
        <w:ind w:left="726" w:right="691" w:firstLine="0"/>
        <w:jc w:val="both"/>
        <w:rPr>
          <w:sz w:val="20"/>
        </w:rPr>
      </w:pPr>
      <w:r>
        <w:rPr>
          <w:sz w:val="20"/>
        </w:rPr>
        <w:t>Her denetim makamı bu Tüzük’e ilişkin olarak 4, 5 ve 6. paragraflarda atıfta bulunulan ihlaller ile ilgili olarak bu madde uyarınca idari para cezaları kesilmesinin her münferit durumda etkili, ölçülü ve caydırıcı olmasını</w:t>
      </w:r>
      <w:r>
        <w:rPr>
          <w:spacing w:val="-2"/>
          <w:sz w:val="20"/>
        </w:rPr>
        <w:t> </w:t>
      </w:r>
      <w:r>
        <w:rPr>
          <w:sz w:val="20"/>
        </w:rPr>
        <w:t>sağlar.</w:t>
      </w:r>
    </w:p>
    <w:p>
      <w:pPr>
        <w:pStyle w:val="BodyText"/>
        <w:rPr>
          <w:sz w:val="22"/>
        </w:rPr>
      </w:pPr>
    </w:p>
    <w:p>
      <w:pPr>
        <w:pStyle w:val="BodyText"/>
        <w:spacing w:before="1"/>
        <w:rPr>
          <w:sz w:val="24"/>
        </w:rPr>
      </w:pPr>
    </w:p>
    <w:p>
      <w:pPr>
        <w:pStyle w:val="ListParagraph"/>
        <w:numPr>
          <w:ilvl w:val="0"/>
          <w:numId w:val="138"/>
        </w:numPr>
        <w:tabs>
          <w:tab w:pos="958" w:val="left" w:leader="none"/>
        </w:tabs>
        <w:spacing w:line="276" w:lineRule="auto" w:before="0" w:after="0"/>
        <w:ind w:left="726" w:right="690" w:firstLine="0"/>
        <w:jc w:val="both"/>
        <w:rPr>
          <w:sz w:val="20"/>
        </w:rPr>
      </w:pPr>
      <w:r>
        <w:rPr>
          <w:sz w:val="20"/>
        </w:rPr>
        <w:t>İdari para cezaları, her münferit durumun özelliklerine dayalı olarak, 58(2) maddesinin (a) ila (h) ve (j) bentlerinde atıfta bulunulan tedbirlere ek olarak veya bu tedbirler yerine kesilir. Her münferit durumda bir idari para cezası kesilip kesilmeyeceğine karar verilirken ve idari para cezası meblağına karar verilirken, aşağıdaki hususlar dikkate</w:t>
      </w:r>
      <w:r>
        <w:rPr>
          <w:spacing w:val="-6"/>
          <w:sz w:val="20"/>
        </w:rPr>
        <w:t> </w:t>
      </w:r>
      <w:r>
        <w:rPr>
          <w:sz w:val="20"/>
        </w:rPr>
        <w:t>alınır:</w:t>
      </w:r>
    </w:p>
    <w:p>
      <w:pPr>
        <w:pStyle w:val="BodyText"/>
        <w:spacing w:before="7"/>
        <w:rPr>
          <w:sz w:val="23"/>
        </w:rPr>
      </w:pPr>
    </w:p>
    <w:p>
      <w:pPr>
        <w:pStyle w:val="ListParagraph"/>
        <w:numPr>
          <w:ilvl w:val="0"/>
          <w:numId w:val="139"/>
        </w:numPr>
        <w:tabs>
          <w:tab w:pos="1027" w:val="left" w:leader="none"/>
        </w:tabs>
        <w:spacing w:line="276" w:lineRule="auto" w:before="0" w:after="0"/>
        <w:ind w:left="1024" w:right="756" w:hanging="298"/>
        <w:jc w:val="left"/>
        <w:rPr>
          <w:sz w:val="20"/>
        </w:rPr>
      </w:pPr>
      <w:r>
        <w:rPr>
          <w:sz w:val="20"/>
        </w:rPr>
        <w:t>ilgili işleme faaliyetinin mahiyeti, kapsamı veya amacı dikkate alındığında ihlalin mahiyeti, ciddiyeti ve süresinin yanı sıra etkilenen veri sahibi sayısı ve veri sahiplerinin yaşadığı zarar</w:t>
      </w:r>
      <w:r>
        <w:rPr>
          <w:spacing w:val="-21"/>
          <w:sz w:val="20"/>
        </w:rPr>
        <w:t> </w:t>
      </w:r>
      <w:r>
        <w:rPr>
          <w:sz w:val="20"/>
        </w:rPr>
        <w:t>düzeyi;</w:t>
      </w:r>
    </w:p>
    <w:p>
      <w:pPr>
        <w:pStyle w:val="BodyText"/>
        <w:spacing w:before="5"/>
        <w:rPr>
          <w:sz w:val="23"/>
        </w:rPr>
      </w:pPr>
    </w:p>
    <w:p>
      <w:pPr>
        <w:pStyle w:val="ListParagraph"/>
        <w:numPr>
          <w:ilvl w:val="0"/>
          <w:numId w:val="139"/>
        </w:numPr>
        <w:tabs>
          <w:tab w:pos="1027" w:val="left" w:leader="none"/>
        </w:tabs>
        <w:spacing w:line="240" w:lineRule="auto" w:before="1" w:after="0"/>
        <w:ind w:left="1024" w:right="0" w:hanging="298"/>
        <w:jc w:val="both"/>
        <w:rPr>
          <w:sz w:val="20"/>
        </w:rPr>
      </w:pPr>
      <w:r>
        <w:rPr>
          <w:sz w:val="20"/>
        </w:rPr>
        <w:t>ihlalin kasıtlı olması veya ihmalkarlıktan</w:t>
      </w:r>
      <w:r>
        <w:rPr>
          <w:spacing w:val="-10"/>
          <w:sz w:val="20"/>
        </w:rPr>
        <w:t> </w:t>
      </w:r>
      <w:r>
        <w:rPr>
          <w:sz w:val="20"/>
        </w:rPr>
        <w:t>kaynaklanması;</w:t>
      </w:r>
    </w:p>
    <w:p>
      <w:pPr>
        <w:pStyle w:val="BodyText"/>
        <w:spacing w:before="8"/>
        <w:rPr>
          <w:sz w:val="26"/>
        </w:rPr>
      </w:pPr>
    </w:p>
    <w:p>
      <w:pPr>
        <w:pStyle w:val="ListParagraph"/>
        <w:numPr>
          <w:ilvl w:val="0"/>
          <w:numId w:val="139"/>
        </w:numPr>
        <w:tabs>
          <w:tab w:pos="1041" w:val="left" w:leader="none"/>
        </w:tabs>
        <w:spacing w:line="276" w:lineRule="auto" w:before="0" w:after="0"/>
        <w:ind w:left="726" w:right="2292" w:firstLine="0"/>
        <w:jc w:val="left"/>
        <w:rPr>
          <w:sz w:val="20"/>
        </w:rPr>
      </w:pPr>
      <w:r>
        <w:rPr>
          <w:sz w:val="20"/>
        </w:rPr>
        <w:t>veri sahiplerinin yaşadığı zararın azaltılması için kontrolör veya işleyici tarafından gerçekleştirilen herhangi bir işlem;</w:t>
      </w:r>
    </w:p>
    <w:p>
      <w:pPr>
        <w:pStyle w:val="BodyText"/>
        <w:rPr>
          <w:sz w:val="24"/>
        </w:rPr>
      </w:pPr>
    </w:p>
    <w:p>
      <w:pPr>
        <w:pStyle w:val="ListParagraph"/>
        <w:numPr>
          <w:ilvl w:val="0"/>
          <w:numId w:val="139"/>
        </w:numPr>
        <w:tabs>
          <w:tab w:pos="1027" w:val="left" w:leader="none"/>
        </w:tabs>
        <w:spacing w:line="276" w:lineRule="auto" w:before="0" w:after="0"/>
        <w:ind w:left="1024" w:right="999" w:hanging="298"/>
        <w:jc w:val="left"/>
        <w:rPr>
          <w:sz w:val="20"/>
        </w:rPr>
      </w:pPr>
      <w:r>
        <w:rPr>
          <w:sz w:val="20"/>
        </w:rPr>
        <w:t>25 ve 32. maddeler uyarınca kendileri tarafından uygulanan teknik ve düzenlemeye ilişkin tedbirler dikkate alındığında, kontrolörün veya işleyicinin sorumluluk</w:t>
      </w:r>
      <w:r>
        <w:rPr>
          <w:spacing w:val="-7"/>
          <w:sz w:val="20"/>
        </w:rPr>
        <w:t> </w:t>
      </w:r>
      <w:r>
        <w:rPr>
          <w:sz w:val="20"/>
        </w:rPr>
        <w:t>derecesi;</w:t>
      </w:r>
    </w:p>
    <w:p>
      <w:pPr>
        <w:pStyle w:val="BodyText"/>
        <w:spacing w:before="5"/>
        <w:rPr>
          <w:sz w:val="23"/>
        </w:rPr>
      </w:pPr>
    </w:p>
    <w:p>
      <w:pPr>
        <w:pStyle w:val="ListParagraph"/>
        <w:numPr>
          <w:ilvl w:val="0"/>
          <w:numId w:val="139"/>
        </w:numPr>
        <w:tabs>
          <w:tab w:pos="1027" w:val="left" w:leader="none"/>
        </w:tabs>
        <w:spacing w:line="240" w:lineRule="auto" w:before="1" w:after="0"/>
        <w:ind w:left="1024" w:right="0" w:hanging="298"/>
        <w:jc w:val="both"/>
        <w:rPr>
          <w:sz w:val="20"/>
        </w:rPr>
      </w:pPr>
      <w:r>
        <w:rPr>
          <w:sz w:val="20"/>
        </w:rPr>
        <w:t>kontrolör veya işleyicinin geçmişte konuyla ilgili</w:t>
      </w:r>
      <w:r>
        <w:rPr>
          <w:spacing w:val="1"/>
          <w:sz w:val="20"/>
        </w:rPr>
        <w:t> </w:t>
      </w:r>
      <w:r>
        <w:rPr>
          <w:sz w:val="20"/>
        </w:rPr>
        <w:t>ihlalleri;</w:t>
      </w:r>
    </w:p>
    <w:p>
      <w:pPr>
        <w:pStyle w:val="BodyText"/>
        <w:rPr>
          <w:sz w:val="22"/>
        </w:rPr>
      </w:pPr>
    </w:p>
    <w:p>
      <w:pPr>
        <w:pStyle w:val="BodyText"/>
        <w:spacing w:before="10"/>
        <w:rPr>
          <w:sz w:val="27"/>
        </w:rPr>
      </w:pPr>
    </w:p>
    <w:p>
      <w:pPr>
        <w:pStyle w:val="ListParagraph"/>
        <w:numPr>
          <w:ilvl w:val="0"/>
          <w:numId w:val="139"/>
        </w:numPr>
        <w:tabs>
          <w:tab w:pos="974" w:val="left" w:leader="none"/>
        </w:tabs>
        <w:spacing w:line="276" w:lineRule="auto" w:before="0" w:after="0"/>
        <w:ind w:left="1024" w:right="1454" w:hanging="298"/>
        <w:jc w:val="left"/>
        <w:rPr>
          <w:sz w:val="20"/>
        </w:rPr>
      </w:pPr>
      <w:r>
        <w:rPr>
          <w:sz w:val="20"/>
        </w:rPr>
        <w:t>ihlalin</w:t>
      </w:r>
      <w:r>
        <w:rPr>
          <w:spacing w:val="-6"/>
          <w:sz w:val="20"/>
        </w:rPr>
        <w:t> </w:t>
      </w:r>
      <w:r>
        <w:rPr>
          <w:sz w:val="20"/>
        </w:rPr>
        <w:t>düzeltilmesi</w:t>
      </w:r>
      <w:r>
        <w:rPr>
          <w:spacing w:val="-7"/>
          <w:sz w:val="20"/>
        </w:rPr>
        <w:t> </w:t>
      </w:r>
      <w:r>
        <w:rPr>
          <w:sz w:val="20"/>
        </w:rPr>
        <w:t>ve</w:t>
      </w:r>
      <w:r>
        <w:rPr>
          <w:spacing w:val="-6"/>
          <w:sz w:val="20"/>
        </w:rPr>
        <w:t> </w:t>
      </w:r>
      <w:r>
        <w:rPr>
          <w:sz w:val="20"/>
        </w:rPr>
        <w:t>ihlalin</w:t>
      </w:r>
      <w:r>
        <w:rPr>
          <w:spacing w:val="-6"/>
          <w:sz w:val="20"/>
        </w:rPr>
        <w:t> </w:t>
      </w:r>
      <w:r>
        <w:rPr>
          <w:sz w:val="20"/>
        </w:rPr>
        <w:t>olası</w:t>
      </w:r>
      <w:r>
        <w:rPr>
          <w:spacing w:val="-6"/>
          <w:sz w:val="20"/>
        </w:rPr>
        <w:t> </w:t>
      </w:r>
      <w:r>
        <w:rPr>
          <w:sz w:val="20"/>
        </w:rPr>
        <w:t>olumsuz</w:t>
      </w:r>
      <w:r>
        <w:rPr>
          <w:spacing w:val="-7"/>
          <w:sz w:val="20"/>
        </w:rPr>
        <w:t> </w:t>
      </w:r>
      <w:r>
        <w:rPr>
          <w:sz w:val="20"/>
        </w:rPr>
        <w:t>etkilerinin</w:t>
      </w:r>
      <w:r>
        <w:rPr>
          <w:spacing w:val="-6"/>
          <w:sz w:val="20"/>
        </w:rPr>
        <w:t> </w:t>
      </w:r>
      <w:r>
        <w:rPr>
          <w:sz w:val="20"/>
        </w:rPr>
        <w:t>azaltılması</w:t>
      </w:r>
      <w:r>
        <w:rPr>
          <w:spacing w:val="-6"/>
          <w:sz w:val="20"/>
        </w:rPr>
        <w:t> </w:t>
      </w:r>
      <w:r>
        <w:rPr>
          <w:sz w:val="20"/>
        </w:rPr>
        <w:t>amacı</w:t>
      </w:r>
      <w:r>
        <w:rPr>
          <w:spacing w:val="-6"/>
          <w:sz w:val="20"/>
        </w:rPr>
        <w:t> </w:t>
      </w:r>
      <w:r>
        <w:rPr>
          <w:sz w:val="20"/>
        </w:rPr>
        <w:t>ile</w:t>
      </w:r>
      <w:r>
        <w:rPr>
          <w:spacing w:val="-6"/>
          <w:sz w:val="20"/>
        </w:rPr>
        <w:t> </w:t>
      </w:r>
      <w:r>
        <w:rPr>
          <w:sz w:val="20"/>
        </w:rPr>
        <w:t>denetim</w:t>
      </w:r>
      <w:r>
        <w:rPr>
          <w:spacing w:val="-4"/>
          <w:sz w:val="20"/>
        </w:rPr>
        <w:t> </w:t>
      </w:r>
      <w:r>
        <w:rPr>
          <w:sz w:val="20"/>
        </w:rPr>
        <w:t>makamı</w:t>
      </w:r>
      <w:r>
        <w:rPr>
          <w:spacing w:val="-6"/>
          <w:sz w:val="20"/>
        </w:rPr>
        <w:t> </w:t>
      </w:r>
      <w:r>
        <w:rPr>
          <w:sz w:val="20"/>
        </w:rPr>
        <w:t>ile gerçekleştirilen işbirliği</w:t>
      </w:r>
      <w:r>
        <w:rPr>
          <w:spacing w:val="-4"/>
          <w:sz w:val="20"/>
        </w:rPr>
        <w:t> </w:t>
      </w:r>
      <w:r>
        <w:rPr>
          <w:sz w:val="20"/>
        </w:rPr>
        <w:t>derecesi;</w:t>
      </w:r>
    </w:p>
    <w:p>
      <w:pPr>
        <w:spacing w:after="0" w:line="276" w:lineRule="auto"/>
        <w:jc w:val="left"/>
        <w:rPr>
          <w:sz w:val="20"/>
        </w:rPr>
        <w:sectPr>
          <w:pgSz w:w="11930" w:h="16850"/>
          <w:pgMar w:header="961" w:footer="0" w:top="1240" w:bottom="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139"/>
        </w:numPr>
        <w:tabs>
          <w:tab w:pos="1027" w:val="left" w:leader="none"/>
        </w:tabs>
        <w:spacing w:line="240" w:lineRule="auto" w:before="66" w:after="0"/>
        <w:ind w:left="1024" w:right="0" w:hanging="298"/>
        <w:jc w:val="left"/>
        <w:rPr>
          <w:sz w:val="20"/>
        </w:rPr>
      </w:pPr>
      <w:r>
        <w:rPr>
          <w:sz w:val="20"/>
        </w:rPr>
        <w:t>ihlalden etkilenen kişisel veri</w:t>
      </w:r>
      <w:r>
        <w:rPr>
          <w:spacing w:val="-2"/>
          <w:sz w:val="20"/>
        </w:rPr>
        <w:t> </w:t>
      </w:r>
      <w:r>
        <w:rPr>
          <w:sz w:val="20"/>
        </w:rPr>
        <w:t>kategorileri;</w:t>
      </w:r>
    </w:p>
    <w:p>
      <w:pPr>
        <w:pStyle w:val="BodyText"/>
        <w:rPr>
          <w:sz w:val="27"/>
        </w:rPr>
      </w:pPr>
    </w:p>
    <w:p>
      <w:pPr>
        <w:pStyle w:val="ListParagraph"/>
        <w:numPr>
          <w:ilvl w:val="0"/>
          <w:numId w:val="139"/>
        </w:numPr>
        <w:tabs>
          <w:tab w:pos="1027" w:val="left" w:leader="none"/>
        </w:tabs>
        <w:spacing w:line="276" w:lineRule="auto" w:before="0" w:after="0"/>
        <w:ind w:left="1024" w:right="1295" w:hanging="298"/>
        <w:jc w:val="left"/>
        <w:rPr>
          <w:sz w:val="20"/>
        </w:rPr>
      </w:pPr>
      <w:r>
        <w:rPr>
          <w:sz w:val="20"/>
        </w:rPr>
        <w:t>kontrolör veya işleyicinin ihlali bildirip bildirmediği ve bildirdiyse ne ölçüde bildirdiği başta olmak üzere, denetim makamının ihlalden haberdar edilme</w:t>
      </w:r>
      <w:r>
        <w:rPr>
          <w:spacing w:val="-3"/>
          <w:sz w:val="20"/>
        </w:rPr>
        <w:t> </w:t>
      </w:r>
      <w:r>
        <w:rPr>
          <w:sz w:val="20"/>
        </w:rPr>
        <w:t>şekli;</w:t>
      </w:r>
    </w:p>
    <w:p>
      <w:pPr>
        <w:pStyle w:val="BodyText"/>
        <w:spacing w:before="8"/>
        <w:rPr>
          <w:sz w:val="23"/>
        </w:rPr>
      </w:pPr>
    </w:p>
    <w:p>
      <w:pPr>
        <w:pStyle w:val="ListParagraph"/>
        <w:numPr>
          <w:ilvl w:val="0"/>
          <w:numId w:val="139"/>
        </w:numPr>
        <w:tabs>
          <w:tab w:pos="960" w:val="left" w:leader="none"/>
        </w:tabs>
        <w:spacing w:line="276" w:lineRule="auto" w:before="0" w:after="0"/>
        <w:ind w:left="1024" w:right="1167" w:hanging="298"/>
        <w:jc w:val="left"/>
        <w:rPr>
          <w:sz w:val="20"/>
        </w:rPr>
      </w:pPr>
      <w:r>
        <w:rPr>
          <w:sz w:val="20"/>
        </w:rPr>
        <w:t>58(2)</w:t>
      </w:r>
      <w:r>
        <w:rPr>
          <w:spacing w:val="-6"/>
          <w:sz w:val="20"/>
        </w:rPr>
        <w:t> </w:t>
      </w:r>
      <w:r>
        <w:rPr>
          <w:sz w:val="20"/>
        </w:rPr>
        <w:t>maddesinde</w:t>
      </w:r>
      <w:r>
        <w:rPr>
          <w:spacing w:val="-7"/>
          <w:sz w:val="20"/>
        </w:rPr>
        <w:t> </w:t>
      </w:r>
      <w:r>
        <w:rPr>
          <w:sz w:val="20"/>
        </w:rPr>
        <w:t>atıfta</w:t>
      </w:r>
      <w:r>
        <w:rPr>
          <w:spacing w:val="-4"/>
          <w:sz w:val="20"/>
        </w:rPr>
        <w:t> </w:t>
      </w:r>
      <w:r>
        <w:rPr>
          <w:sz w:val="20"/>
        </w:rPr>
        <w:t>bulunulan</w:t>
      </w:r>
      <w:r>
        <w:rPr>
          <w:spacing w:val="-4"/>
          <w:sz w:val="20"/>
        </w:rPr>
        <w:t> </w:t>
      </w:r>
      <w:r>
        <w:rPr>
          <w:sz w:val="20"/>
        </w:rPr>
        <w:t>tedbirlerin</w:t>
      </w:r>
      <w:r>
        <w:rPr>
          <w:spacing w:val="-6"/>
          <w:sz w:val="20"/>
        </w:rPr>
        <w:t> </w:t>
      </w:r>
      <w:r>
        <w:rPr>
          <w:sz w:val="20"/>
        </w:rPr>
        <w:t>ilgili</w:t>
      </w:r>
      <w:r>
        <w:rPr>
          <w:spacing w:val="-7"/>
          <w:sz w:val="20"/>
        </w:rPr>
        <w:t> </w:t>
      </w:r>
      <w:r>
        <w:rPr>
          <w:sz w:val="20"/>
        </w:rPr>
        <w:t>kontrolör</w:t>
      </w:r>
      <w:r>
        <w:rPr>
          <w:spacing w:val="-6"/>
          <w:sz w:val="20"/>
        </w:rPr>
        <w:t> </w:t>
      </w:r>
      <w:r>
        <w:rPr>
          <w:sz w:val="20"/>
        </w:rPr>
        <w:t>veya</w:t>
      </w:r>
      <w:r>
        <w:rPr>
          <w:spacing w:val="-4"/>
          <w:sz w:val="20"/>
        </w:rPr>
        <w:t> </w:t>
      </w:r>
      <w:r>
        <w:rPr>
          <w:sz w:val="20"/>
        </w:rPr>
        <w:t>işleyiciye</w:t>
      </w:r>
      <w:r>
        <w:rPr>
          <w:spacing w:val="-4"/>
          <w:sz w:val="20"/>
        </w:rPr>
        <w:t> </w:t>
      </w:r>
      <w:r>
        <w:rPr>
          <w:sz w:val="20"/>
        </w:rPr>
        <w:t>karşı</w:t>
      </w:r>
      <w:r>
        <w:rPr>
          <w:spacing w:val="-6"/>
          <w:sz w:val="20"/>
        </w:rPr>
        <w:t> </w:t>
      </w:r>
      <w:r>
        <w:rPr>
          <w:sz w:val="20"/>
        </w:rPr>
        <w:t>aynı</w:t>
      </w:r>
      <w:r>
        <w:rPr>
          <w:spacing w:val="-6"/>
          <w:sz w:val="20"/>
        </w:rPr>
        <w:t> </w:t>
      </w:r>
      <w:r>
        <w:rPr>
          <w:sz w:val="20"/>
        </w:rPr>
        <w:t>konu</w:t>
      </w:r>
      <w:r>
        <w:rPr>
          <w:spacing w:val="-6"/>
          <w:sz w:val="20"/>
        </w:rPr>
        <w:t> </w:t>
      </w:r>
      <w:r>
        <w:rPr>
          <w:sz w:val="20"/>
        </w:rPr>
        <w:t>ile</w:t>
      </w:r>
      <w:r>
        <w:rPr>
          <w:spacing w:val="-4"/>
          <w:sz w:val="20"/>
        </w:rPr>
        <w:t> </w:t>
      </w:r>
      <w:r>
        <w:rPr>
          <w:sz w:val="20"/>
        </w:rPr>
        <w:t>ilgili olarak daha önceden alınmış olduğu hallerde, bu tedbirlere</w:t>
      </w:r>
      <w:r>
        <w:rPr>
          <w:spacing w:val="-4"/>
          <w:sz w:val="20"/>
        </w:rPr>
        <w:t> </w:t>
      </w:r>
      <w:r>
        <w:rPr>
          <w:sz w:val="20"/>
        </w:rPr>
        <w:t>uyum;</w:t>
      </w:r>
    </w:p>
    <w:p>
      <w:pPr>
        <w:pStyle w:val="BodyText"/>
        <w:spacing w:before="6"/>
        <w:rPr>
          <w:sz w:val="23"/>
        </w:rPr>
      </w:pPr>
    </w:p>
    <w:p>
      <w:pPr>
        <w:pStyle w:val="ListParagraph"/>
        <w:numPr>
          <w:ilvl w:val="0"/>
          <w:numId w:val="139"/>
        </w:numPr>
        <w:tabs>
          <w:tab w:pos="1019" w:val="left" w:leader="none"/>
        </w:tabs>
        <w:spacing w:line="276" w:lineRule="auto" w:before="0" w:after="0"/>
        <w:ind w:left="726" w:right="696" w:firstLine="0"/>
        <w:jc w:val="left"/>
        <w:rPr>
          <w:sz w:val="20"/>
        </w:rPr>
      </w:pPr>
      <w:r>
        <w:rPr>
          <w:sz w:val="20"/>
        </w:rPr>
        <w:t>40. madde uyarınca onaylı davranış kurallarına veya 42. madde uyarınca onaylı belgelendirme mekanizmalarına uygun hareket</w:t>
      </w:r>
      <w:r>
        <w:rPr>
          <w:spacing w:val="-5"/>
          <w:sz w:val="20"/>
        </w:rPr>
        <w:t> </w:t>
      </w:r>
      <w:r>
        <w:rPr>
          <w:sz w:val="20"/>
        </w:rPr>
        <w:t>edilmesi;</w:t>
      </w:r>
    </w:p>
    <w:p>
      <w:pPr>
        <w:pStyle w:val="BodyText"/>
        <w:rPr>
          <w:sz w:val="22"/>
        </w:rPr>
      </w:pPr>
    </w:p>
    <w:p>
      <w:pPr>
        <w:pStyle w:val="BodyText"/>
        <w:spacing w:before="11"/>
        <w:rPr>
          <w:sz w:val="24"/>
        </w:rPr>
      </w:pPr>
    </w:p>
    <w:p>
      <w:pPr>
        <w:pStyle w:val="ListParagraph"/>
        <w:numPr>
          <w:ilvl w:val="0"/>
          <w:numId w:val="139"/>
        </w:numPr>
        <w:tabs>
          <w:tab w:pos="1017" w:val="left" w:leader="none"/>
        </w:tabs>
        <w:spacing w:line="276" w:lineRule="auto" w:before="0" w:after="0"/>
        <w:ind w:left="1024" w:right="743" w:hanging="298"/>
        <w:jc w:val="left"/>
        <w:rPr>
          <w:sz w:val="20"/>
        </w:rPr>
      </w:pPr>
      <w:r>
        <w:rPr>
          <w:sz w:val="20"/>
        </w:rPr>
        <w:t>ihlal nedeniyle doğrudan veya dolaylı olarak elde edilen maddi menfaatler veya kaçınılan zararlar gibi durumun özellikleri açısından geçerli diğer ağırlaştırıcı veya hafifletici</w:t>
      </w:r>
      <w:r>
        <w:rPr>
          <w:spacing w:val="-14"/>
          <w:sz w:val="20"/>
        </w:rPr>
        <w:t> </w:t>
      </w:r>
      <w:r>
        <w:rPr>
          <w:sz w:val="20"/>
        </w:rPr>
        <w:t>faktörler.</w:t>
      </w:r>
    </w:p>
    <w:p>
      <w:pPr>
        <w:pStyle w:val="BodyText"/>
        <w:rPr>
          <w:sz w:val="22"/>
        </w:rPr>
      </w:pPr>
    </w:p>
    <w:p>
      <w:pPr>
        <w:pStyle w:val="BodyText"/>
        <w:spacing w:before="7"/>
        <w:rPr>
          <w:sz w:val="24"/>
        </w:rPr>
      </w:pPr>
    </w:p>
    <w:p>
      <w:pPr>
        <w:pStyle w:val="ListParagraph"/>
        <w:numPr>
          <w:ilvl w:val="0"/>
          <w:numId w:val="138"/>
        </w:numPr>
        <w:tabs>
          <w:tab w:pos="951" w:val="left" w:leader="none"/>
        </w:tabs>
        <w:spacing w:line="276" w:lineRule="auto" w:before="1" w:after="0"/>
        <w:ind w:left="726" w:right="697" w:firstLine="0"/>
        <w:jc w:val="both"/>
        <w:rPr>
          <w:sz w:val="20"/>
        </w:rPr>
      </w:pPr>
      <w:r>
        <w:rPr>
          <w:sz w:val="20"/>
        </w:rPr>
        <w:t>Bir kontrolör veya işleyicinin aynı veya bağlantılı işleme faaliyetlerine yönelik olarak bu Tüzük’ün çeşitli hükümlerini kasıtlı olarak veya ihmalkarlıktan dolayı ihlal etmesi durumunda, toplam idari para cezası meblağı en ağır ihlal için belirtilen meblağı</w:t>
      </w:r>
      <w:r>
        <w:rPr>
          <w:spacing w:val="-4"/>
          <w:sz w:val="20"/>
        </w:rPr>
        <w:t> </w:t>
      </w:r>
      <w:r>
        <w:rPr>
          <w:sz w:val="20"/>
        </w:rPr>
        <w:t>aşamaz.</w:t>
      </w:r>
    </w:p>
    <w:p>
      <w:pPr>
        <w:pStyle w:val="BodyText"/>
        <w:rPr>
          <w:sz w:val="22"/>
        </w:rPr>
      </w:pPr>
    </w:p>
    <w:p>
      <w:pPr>
        <w:pStyle w:val="BodyText"/>
        <w:spacing w:before="7"/>
        <w:rPr>
          <w:sz w:val="24"/>
        </w:rPr>
      </w:pPr>
    </w:p>
    <w:p>
      <w:pPr>
        <w:pStyle w:val="ListParagraph"/>
        <w:numPr>
          <w:ilvl w:val="0"/>
          <w:numId w:val="138"/>
        </w:numPr>
        <w:tabs>
          <w:tab w:pos="951" w:val="left" w:leader="none"/>
        </w:tabs>
        <w:spacing w:line="276" w:lineRule="auto" w:before="0" w:after="0"/>
        <w:ind w:left="726" w:right="701" w:firstLine="0"/>
        <w:jc w:val="both"/>
        <w:rPr>
          <w:sz w:val="20"/>
        </w:rPr>
      </w:pPr>
      <w:r>
        <w:rPr>
          <w:sz w:val="20"/>
        </w:rPr>
        <w:t>Aşağıdaki hükümlere ilişkin ihlaller, 2. paragraf uyarınca, 10.000.000 Euro’ya kadar veya, bir teşebbüs olması halinde, bir önceki mali yılın yıllık dünya çapındaki cirosunun %2’sine kadar idari para cezalarına (hangi meblağ yüksek ise, o geçerlidir)</w:t>
      </w:r>
      <w:r>
        <w:rPr>
          <w:spacing w:val="-3"/>
          <w:sz w:val="20"/>
        </w:rPr>
        <w:t> </w:t>
      </w:r>
      <w:r>
        <w:rPr>
          <w:sz w:val="20"/>
        </w:rPr>
        <w:t>tabidir:</w:t>
      </w:r>
    </w:p>
    <w:p>
      <w:pPr>
        <w:pStyle w:val="BodyText"/>
        <w:spacing w:before="3"/>
        <w:rPr>
          <w:sz w:val="23"/>
        </w:rPr>
      </w:pPr>
    </w:p>
    <w:p>
      <w:pPr>
        <w:pStyle w:val="ListParagraph"/>
        <w:numPr>
          <w:ilvl w:val="0"/>
          <w:numId w:val="140"/>
        </w:numPr>
        <w:tabs>
          <w:tab w:pos="1027" w:val="left" w:leader="none"/>
        </w:tabs>
        <w:spacing w:line="240" w:lineRule="auto" w:before="0" w:after="0"/>
        <w:ind w:left="1026" w:right="0" w:hanging="300"/>
        <w:jc w:val="left"/>
        <w:rPr>
          <w:sz w:val="20"/>
        </w:rPr>
      </w:pPr>
      <w:r>
        <w:rPr>
          <w:sz w:val="20"/>
        </w:rPr>
        <w:t>kontrolör veya işleyicinin 8, 11, 25 ila 39 ile 42 ve 43. maddeler uyarınca</w:t>
      </w:r>
      <w:r>
        <w:rPr>
          <w:spacing w:val="-15"/>
          <w:sz w:val="20"/>
        </w:rPr>
        <w:t> </w:t>
      </w:r>
      <w:r>
        <w:rPr>
          <w:sz w:val="20"/>
        </w:rPr>
        <w:t>yükümlülükleri;</w:t>
      </w:r>
    </w:p>
    <w:p>
      <w:pPr>
        <w:pStyle w:val="ListParagraph"/>
        <w:numPr>
          <w:ilvl w:val="0"/>
          <w:numId w:val="140"/>
        </w:numPr>
        <w:tabs>
          <w:tab w:pos="1027" w:val="left" w:leader="none"/>
        </w:tabs>
        <w:spacing w:line="240" w:lineRule="auto" w:before="36" w:after="0"/>
        <w:ind w:left="1026" w:right="0" w:hanging="300"/>
        <w:jc w:val="left"/>
        <w:rPr>
          <w:sz w:val="20"/>
        </w:rPr>
      </w:pPr>
      <w:r>
        <w:rPr>
          <w:sz w:val="20"/>
        </w:rPr>
        <w:t>belgelendirme organının 42 ve 43. maddeler uyarınca</w:t>
      </w:r>
      <w:r>
        <w:rPr>
          <w:spacing w:val="-4"/>
          <w:sz w:val="20"/>
        </w:rPr>
        <w:t> </w:t>
      </w:r>
      <w:r>
        <w:rPr>
          <w:sz w:val="20"/>
        </w:rPr>
        <w:t>yükümlülükleri;</w:t>
      </w:r>
    </w:p>
    <w:p>
      <w:pPr>
        <w:pStyle w:val="ListParagraph"/>
        <w:numPr>
          <w:ilvl w:val="0"/>
          <w:numId w:val="140"/>
        </w:numPr>
        <w:tabs>
          <w:tab w:pos="1017" w:val="left" w:leader="none"/>
        </w:tabs>
        <w:spacing w:line="240" w:lineRule="auto" w:before="58" w:after="0"/>
        <w:ind w:left="1016" w:right="0" w:hanging="290"/>
        <w:jc w:val="left"/>
        <w:rPr>
          <w:sz w:val="20"/>
        </w:rPr>
      </w:pPr>
      <w:r>
        <w:rPr>
          <w:sz w:val="20"/>
        </w:rPr>
        <w:t>izleme organının 41(4) maddesi uyarınca yükümlülükleri.</w:t>
      </w:r>
    </w:p>
    <w:p>
      <w:pPr>
        <w:pStyle w:val="BodyText"/>
        <w:rPr>
          <w:sz w:val="22"/>
        </w:rPr>
      </w:pPr>
    </w:p>
    <w:p>
      <w:pPr>
        <w:pStyle w:val="BodyText"/>
        <w:spacing w:before="6"/>
        <w:rPr>
          <w:sz w:val="31"/>
        </w:rPr>
      </w:pPr>
    </w:p>
    <w:p>
      <w:pPr>
        <w:pStyle w:val="ListParagraph"/>
        <w:numPr>
          <w:ilvl w:val="0"/>
          <w:numId w:val="138"/>
        </w:numPr>
        <w:tabs>
          <w:tab w:pos="951" w:val="left" w:leader="none"/>
        </w:tabs>
        <w:spacing w:line="276" w:lineRule="auto" w:before="0" w:after="0"/>
        <w:ind w:left="726" w:right="700" w:firstLine="0"/>
        <w:jc w:val="both"/>
        <w:rPr>
          <w:sz w:val="20"/>
        </w:rPr>
      </w:pPr>
      <w:r>
        <w:rPr>
          <w:sz w:val="20"/>
        </w:rPr>
        <w:t>Aşağıdaki hükümlere ilişkin ihlaller, 2. paragraf uyarınca, 20.000.000 Euro’ya kadar veya, bir teşebbüs olması halinde, bir önceki mali yılın yıllık dünya çapındaki cirosunun %4’üne kadar idari para cezalarına (hangi meblağ yüksek ise, o geçerlidir)</w:t>
      </w:r>
      <w:r>
        <w:rPr>
          <w:spacing w:val="-3"/>
          <w:sz w:val="20"/>
        </w:rPr>
        <w:t> </w:t>
      </w:r>
      <w:r>
        <w:rPr>
          <w:sz w:val="20"/>
        </w:rPr>
        <w:t>tabidir:</w:t>
      </w:r>
    </w:p>
    <w:p>
      <w:pPr>
        <w:pStyle w:val="BodyText"/>
        <w:spacing w:before="7"/>
        <w:rPr>
          <w:sz w:val="23"/>
        </w:rPr>
      </w:pPr>
    </w:p>
    <w:p>
      <w:pPr>
        <w:pStyle w:val="ListParagraph"/>
        <w:numPr>
          <w:ilvl w:val="0"/>
          <w:numId w:val="141"/>
        </w:numPr>
        <w:tabs>
          <w:tab w:pos="1027" w:val="left" w:leader="none"/>
        </w:tabs>
        <w:spacing w:line="276" w:lineRule="auto" w:before="1" w:after="0"/>
        <w:ind w:left="726" w:right="1151" w:firstLine="0"/>
        <w:jc w:val="left"/>
        <w:rPr>
          <w:sz w:val="20"/>
        </w:rPr>
      </w:pPr>
      <w:r>
        <w:rPr>
          <w:sz w:val="20"/>
        </w:rPr>
        <w:t>5, 6, 7 ve 9. maddeler uyarınca rıza koşulları da dahil olmak üzere işleme faaliyetine ilişkin temel ilkeler;</w:t>
      </w:r>
    </w:p>
    <w:p>
      <w:pPr>
        <w:pStyle w:val="ListParagraph"/>
        <w:numPr>
          <w:ilvl w:val="0"/>
          <w:numId w:val="141"/>
        </w:numPr>
        <w:tabs>
          <w:tab w:pos="1027" w:val="left" w:leader="none"/>
        </w:tabs>
        <w:spacing w:line="230" w:lineRule="exact" w:before="0" w:after="0"/>
        <w:ind w:left="1026" w:right="0" w:hanging="300"/>
        <w:jc w:val="left"/>
        <w:rPr>
          <w:sz w:val="20"/>
        </w:rPr>
      </w:pPr>
      <w:r>
        <w:rPr>
          <w:sz w:val="20"/>
        </w:rPr>
        <w:t>veri sahiplerinin 12 ila 22. maddeler uyarınca</w:t>
      </w:r>
      <w:r>
        <w:rPr>
          <w:spacing w:val="-3"/>
          <w:sz w:val="20"/>
        </w:rPr>
        <w:t> </w:t>
      </w:r>
      <w:r>
        <w:rPr>
          <w:sz w:val="20"/>
        </w:rPr>
        <w:t>hakları;</w:t>
      </w:r>
    </w:p>
    <w:p>
      <w:pPr>
        <w:pStyle w:val="ListParagraph"/>
        <w:numPr>
          <w:ilvl w:val="0"/>
          <w:numId w:val="141"/>
        </w:numPr>
        <w:tabs>
          <w:tab w:pos="1048" w:val="left" w:leader="none"/>
        </w:tabs>
        <w:spacing w:line="276" w:lineRule="auto" w:before="53" w:after="0"/>
        <w:ind w:left="726" w:right="702" w:firstLine="0"/>
        <w:jc w:val="left"/>
        <w:rPr>
          <w:sz w:val="20"/>
        </w:rPr>
      </w:pPr>
      <w:r>
        <w:rPr>
          <w:sz w:val="20"/>
        </w:rPr>
        <w:t>44 ila 49. maddeler uyarınca bir üçüncü ülkedeki bir alıcıya veya bir uluslararası kuruluşa yönelik kişisel veri</w:t>
      </w:r>
      <w:r>
        <w:rPr>
          <w:spacing w:val="-2"/>
          <w:sz w:val="20"/>
        </w:rPr>
        <w:t> </w:t>
      </w:r>
      <w:r>
        <w:rPr>
          <w:sz w:val="20"/>
        </w:rPr>
        <w:t>aktarımları;</w:t>
      </w:r>
    </w:p>
    <w:p>
      <w:pPr>
        <w:pStyle w:val="BodyText"/>
        <w:spacing w:before="11"/>
        <w:rPr>
          <w:sz w:val="29"/>
        </w:rPr>
      </w:pPr>
    </w:p>
    <w:p>
      <w:pPr>
        <w:pStyle w:val="ListParagraph"/>
        <w:numPr>
          <w:ilvl w:val="0"/>
          <w:numId w:val="141"/>
        </w:numPr>
        <w:tabs>
          <w:tab w:pos="1027" w:val="left" w:leader="none"/>
        </w:tabs>
        <w:spacing w:line="240" w:lineRule="auto" w:before="0" w:after="0"/>
        <w:ind w:left="726" w:right="0" w:firstLine="0"/>
        <w:jc w:val="left"/>
        <w:rPr>
          <w:sz w:val="20"/>
        </w:rPr>
      </w:pPr>
      <w:r>
        <w:rPr>
          <w:sz w:val="20"/>
        </w:rPr>
        <w:t>üye devlet hukuku uyarınca Bölüm IX çerçevesinde kabul edilen her türlü</w:t>
      </w:r>
      <w:r>
        <w:rPr>
          <w:spacing w:val="-5"/>
          <w:sz w:val="20"/>
        </w:rPr>
        <w:t> </w:t>
      </w:r>
      <w:r>
        <w:rPr>
          <w:sz w:val="20"/>
        </w:rPr>
        <w:t>yükümlülük;</w:t>
      </w:r>
    </w:p>
    <w:p>
      <w:pPr>
        <w:pStyle w:val="BodyText"/>
        <w:spacing w:before="4"/>
        <w:rPr>
          <w:sz w:val="26"/>
        </w:rPr>
      </w:pPr>
    </w:p>
    <w:p>
      <w:pPr>
        <w:pStyle w:val="ListParagraph"/>
        <w:numPr>
          <w:ilvl w:val="0"/>
          <w:numId w:val="141"/>
        </w:numPr>
        <w:tabs>
          <w:tab w:pos="1027" w:val="left" w:leader="none"/>
        </w:tabs>
        <w:spacing w:line="276" w:lineRule="auto" w:before="0" w:after="0"/>
        <w:ind w:left="1022" w:right="787" w:hanging="296"/>
        <w:jc w:val="left"/>
        <w:rPr>
          <w:sz w:val="20"/>
        </w:rPr>
      </w:pPr>
      <w:r>
        <w:rPr>
          <w:sz w:val="20"/>
        </w:rPr>
        <w:t>58(2) maddesi uyarınca denetim makamının bir emri veya geçici ya da kesin işleme sınırlaması veya veri akışlarını askıya almasına uyumlu hareket edilmemesi veya 58(1) maddesinin ihlal edilmesi suretiyle erişim</w:t>
      </w:r>
      <w:r>
        <w:rPr>
          <w:spacing w:val="2"/>
          <w:sz w:val="20"/>
        </w:rPr>
        <w:t> </w:t>
      </w:r>
      <w:r>
        <w:rPr>
          <w:sz w:val="20"/>
        </w:rPr>
        <w:t>sağlanmaması.</w:t>
      </w:r>
    </w:p>
    <w:p>
      <w:pPr>
        <w:pStyle w:val="BodyText"/>
        <w:spacing w:before="5"/>
        <w:rPr>
          <w:sz w:val="24"/>
        </w:rPr>
      </w:pPr>
    </w:p>
    <w:p>
      <w:pPr>
        <w:pStyle w:val="ListParagraph"/>
        <w:numPr>
          <w:ilvl w:val="0"/>
          <w:numId w:val="138"/>
        </w:numPr>
        <w:tabs>
          <w:tab w:pos="1140" w:val="left" w:leader="none"/>
        </w:tabs>
        <w:spacing w:line="276" w:lineRule="auto" w:before="1" w:after="0"/>
        <w:ind w:left="726" w:right="699" w:firstLine="0"/>
        <w:jc w:val="both"/>
        <w:rPr>
          <w:sz w:val="20"/>
        </w:rPr>
      </w:pPr>
      <w:r>
        <w:rPr>
          <w:sz w:val="20"/>
        </w:rPr>
        <w:t>58(2) maddesinde atıfta bulunulduğu üzere bir emirle uyumlu hareket edilmemesi, 2. paragraf uyarınca, 20.000.000 Euro’ya kadar veya, bir teşebbüs olması halinde, bir önceki mali yılın yıllık dünya çapındaki</w:t>
      </w:r>
      <w:r>
        <w:rPr>
          <w:spacing w:val="-5"/>
          <w:sz w:val="20"/>
        </w:rPr>
        <w:t> </w:t>
      </w:r>
      <w:r>
        <w:rPr>
          <w:sz w:val="20"/>
        </w:rPr>
        <w:t>cirosunun</w:t>
      </w:r>
      <w:r>
        <w:rPr>
          <w:spacing w:val="-4"/>
          <w:sz w:val="20"/>
        </w:rPr>
        <w:t> </w:t>
      </w:r>
      <w:r>
        <w:rPr>
          <w:sz w:val="20"/>
        </w:rPr>
        <w:t>%4’üne</w:t>
      </w:r>
      <w:r>
        <w:rPr>
          <w:spacing w:val="-4"/>
          <w:sz w:val="20"/>
        </w:rPr>
        <w:t> </w:t>
      </w:r>
      <w:r>
        <w:rPr>
          <w:sz w:val="20"/>
        </w:rPr>
        <w:t>kadar</w:t>
      </w:r>
      <w:r>
        <w:rPr>
          <w:spacing w:val="-4"/>
          <w:sz w:val="20"/>
        </w:rPr>
        <w:t> </w:t>
      </w:r>
      <w:r>
        <w:rPr>
          <w:sz w:val="20"/>
        </w:rPr>
        <w:t>idari</w:t>
      </w:r>
      <w:r>
        <w:rPr>
          <w:spacing w:val="-5"/>
          <w:sz w:val="20"/>
        </w:rPr>
        <w:t> </w:t>
      </w:r>
      <w:r>
        <w:rPr>
          <w:sz w:val="20"/>
        </w:rPr>
        <w:t>para</w:t>
      </w:r>
      <w:r>
        <w:rPr>
          <w:spacing w:val="-4"/>
          <w:sz w:val="20"/>
        </w:rPr>
        <w:t> </w:t>
      </w:r>
      <w:r>
        <w:rPr>
          <w:sz w:val="20"/>
        </w:rPr>
        <w:t>cezalarına</w:t>
      </w:r>
      <w:r>
        <w:rPr>
          <w:spacing w:val="-4"/>
          <w:sz w:val="20"/>
        </w:rPr>
        <w:t> </w:t>
      </w:r>
      <w:r>
        <w:rPr>
          <w:sz w:val="20"/>
        </w:rPr>
        <w:t>(hangi</w:t>
      </w:r>
      <w:r>
        <w:rPr>
          <w:spacing w:val="-5"/>
          <w:sz w:val="20"/>
        </w:rPr>
        <w:t> </w:t>
      </w:r>
      <w:r>
        <w:rPr>
          <w:sz w:val="20"/>
        </w:rPr>
        <w:t>meblağ</w:t>
      </w:r>
      <w:r>
        <w:rPr>
          <w:spacing w:val="-3"/>
          <w:sz w:val="20"/>
        </w:rPr>
        <w:t> </w:t>
      </w:r>
      <w:r>
        <w:rPr>
          <w:sz w:val="20"/>
        </w:rPr>
        <w:t>yüksek</w:t>
      </w:r>
      <w:r>
        <w:rPr>
          <w:spacing w:val="-2"/>
          <w:sz w:val="20"/>
        </w:rPr>
        <w:t> </w:t>
      </w:r>
      <w:r>
        <w:rPr>
          <w:sz w:val="20"/>
        </w:rPr>
        <w:t>ise,</w:t>
      </w:r>
      <w:r>
        <w:rPr>
          <w:spacing w:val="-5"/>
          <w:sz w:val="20"/>
        </w:rPr>
        <w:t> </w:t>
      </w:r>
      <w:r>
        <w:rPr>
          <w:sz w:val="20"/>
        </w:rPr>
        <w:t>o</w:t>
      </w:r>
      <w:r>
        <w:rPr>
          <w:spacing w:val="-4"/>
          <w:sz w:val="20"/>
        </w:rPr>
        <w:t> </w:t>
      </w:r>
      <w:r>
        <w:rPr>
          <w:sz w:val="20"/>
        </w:rPr>
        <w:t>geçerlidir)</w:t>
      </w:r>
      <w:r>
        <w:rPr>
          <w:spacing w:val="-4"/>
          <w:sz w:val="20"/>
        </w:rPr>
        <w:t> </w:t>
      </w:r>
      <w:r>
        <w:rPr>
          <w:sz w:val="20"/>
        </w:rPr>
        <w:t>tabidir.</w:t>
      </w:r>
    </w:p>
    <w:p>
      <w:pPr>
        <w:pStyle w:val="BodyText"/>
        <w:rPr>
          <w:sz w:val="22"/>
        </w:rPr>
      </w:pPr>
    </w:p>
    <w:p>
      <w:pPr>
        <w:pStyle w:val="BodyText"/>
        <w:spacing w:before="7"/>
        <w:rPr>
          <w:sz w:val="24"/>
        </w:rPr>
      </w:pPr>
    </w:p>
    <w:p>
      <w:pPr>
        <w:pStyle w:val="ListParagraph"/>
        <w:numPr>
          <w:ilvl w:val="0"/>
          <w:numId w:val="138"/>
        </w:numPr>
        <w:tabs>
          <w:tab w:pos="994" w:val="left" w:leader="none"/>
        </w:tabs>
        <w:spacing w:line="276" w:lineRule="auto" w:before="0" w:after="0"/>
        <w:ind w:left="726" w:right="699" w:firstLine="0"/>
        <w:jc w:val="left"/>
        <w:rPr>
          <w:sz w:val="20"/>
        </w:rPr>
      </w:pPr>
      <w:r>
        <w:rPr>
          <w:sz w:val="20"/>
        </w:rPr>
        <w:t>Denetleme makamlarının 58(2) maddesi uyarınca düzeltme yetkilerine halel gelmeksizin, her üye devlet söz konusu üye devlette kurulu bulunan kamu kuruluşları ve organlara idari para</w:t>
      </w:r>
      <w:r>
        <w:rPr>
          <w:spacing w:val="-39"/>
          <w:sz w:val="20"/>
        </w:rPr>
        <w:t> </w:t>
      </w:r>
      <w:r>
        <w:rPr>
          <w:sz w:val="20"/>
        </w:rPr>
        <w:t>cezalarının</w:t>
      </w:r>
    </w:p>
    <w:p>
      <w:pPr>
        <w:pStyle w:val="BodyText"/>
        <w:spacing w:before="1"/>
        <w:rPr>
          <w:sz w:val="23"/>
        </w:rPr>
      </w:pPr>
    </w:p>
    <w:p>
      <w:pPr>
        <w:pStyle w:val="BodyText"/>
        <w:ind w:left="726"/>
      </w:pPr>
      <w:r>
        <w:rPr/>
        <w:t>kesilip kesilemeyeceğine ve ne ölçüde kesileceğine ilişkin kurallar belirleyebilir.</w:t>
      </w:r>
    </w:p>
    <w:p>
      <w:pPr>
        <w:spacing w:after="0"/>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138"/>
        </w:numPr>
        <w:tabs>
          <w:tab w:pos="1140" w:val="left" w:leader="none"/>
        </w:tabs>
        <w:spacing w:line="276" w:lineRule="auto" w:before="66" w:after="0"/>
        <w:ind w:left="726" w:right="700" w:firstLine="0"/>
        <w:jc w:val="both"/>
        <w:rPr>
          <w:sz w:val="20"/>
        </w:rPr>
      </w:pPr>
      <w:r>
        <w:rPr>
          <w:sz w:val="20"/>
        </w:rPr>
        <w:t>Denetim makamının bu madde kapsamındaki yetkilerini kullanımı etkili kanun yolu ve yargı süreci de dahil olmak üzere Birlik ve üye devlet hukuku uyarınca uygun usuli güvencelere</w:t>
      </w:r>
      <w:r>
        <w:rPr>
          <w:spacing w:val="-17"/>
          <w:sz w:val="20"/>
        </w:rPr>
        <w:t> </w:t>
      </w:r>
      <w:r>
        <w:rPr>
          <w:sz w:val="20"/>
        </w:rPr>
        <w:t>tabidir.</w:t>
      </w:r>
    </w:p>
    <w:p>
      <w:pPr>
        <w:pStyle w:val="BodyText"/>
        <w:rPr>
          <w:sz w:val="22"/>
        </w:rPr>
      </w:pPr>
    </w:p>
    <w:p>
      <w:pPr>
        <w:pStyle w:val="BodyText"/>
        <w:spacing w:before="8"/>
        <w:rPr>
          <w:sz w:val="24"/>
        </w:rPr>
      </w:pPr>
    </w:p>
    <w:p>
      <w:pPr>
        <w:pStyle w:val="ListParagraph"/>
        <w:numPr>
          <w:ilvl w:val="0"/>
          <w:numId w:val="138"/>
        </w:numPr>
        <w:tabs>
          <w:tab w:pos="970" w:val="left" w:leader="none"/>
        </w:tabs>
        <w:spacing w:line="276" w:lineRule="auto" w:before="0" w:after="0"/>
        <w:ind w:left="726" w:right="688" w:firstLine="0"/>
        <w:jc w:val="both"/>
        <w:rPr>
          <w:sz w:val="20"/>
        </w:rPr>
      </w:pPr>
      <w:r>
        <w:rPr>
          <w:sz w:val="20"/>
        </w:rPr>
        <w:t>Üye devletin hukuk sisteminde idari para cezalarının hükme bağlanmadığı hallerde, bu madde para cezasının yetkin denetim makamı tarafından uygulamaya konacak ve yetkin ulusal mahkemeler tarafından kesilecek şekilde uygulanabilirken, bu kanun yollarının etkili olması ve denetim makamları tarafından kesilen idari para cezaları ile eşdeğer bir etkiye sahip olması sağlanabilir. Her halükarda, kesilen para cezaları etkili, orantılı ve caydırıcı olur. Bu üye devletler bu paragraf uyarınca kabul ettikleri kanun hükümlerini 25 Mayıs 2018 tarihine kadar ve bunları etkileyen sonraki değişiklik kanunu veya değişiklikleri, herhangi bir gecikmeye mahal vermeksizin, Komisyon’a</w:t>
      </w:r>
      <w:r>
        <w:rPr>
          <w:spacing w:val="-11"/>
          <w:sz w:val="20"/>
        </w:rPr>
        <w:t> </w:t>
      </w:r>
      <w:r>
        <w:rPr>
          <w:sz w:val="20"/>
        </w:rPr>
        <w:t>bildirir.</w:t>
      </w:r>
    </w:p>
    <w:p>
      <w:pPr>
        <w:pStyle w:val="BodyText"/>
        <w:rPr>
          <w:sz w:val="22"/>
        </w:rPr>
      </w:pPr>
    </w:p>
    <w:p>
      <w:pPr>
        <w:pStyle w:val="BodyText"/>
        <w:spacing w:before="1"/>
        <w:rPr>
          <w:sz w:val="24"/>
        </w:rPr>
      </w:pPr>
    </w:p>
    <w:p>
      <w:pPr>
        <w:pStyle w:val="BodyText"/>
        <w:spacing w:line="276" w:lineRule="auto"/>
        <w:ind w:left="5035" w:right="5053"/>
        <w:jc w:val="center"/>
      </w:pPr>
      <w:r>
        <w:rPr/>
        <w:t>Madde 84</w:t>
      </w:r>
    </w:p>
    <w:p>
      <w:pPr>
        <w:pStyle w:val="BodyText"/>
        <w:spacing w:before="10"/>
        <w:rPr>
          <w:sz w:val="22"/>
        </w:rPr>
      </w:pPr>
    </w:p>
    <w:p>
      <w:pPr>
        <w:pStyle w:val="Heading1"/>
        <w:spacing w:before="1"/>
        <w:ind w:right="2226"/>
      </w:pPr>
      <w:r>
        <w:rPr/>
        <w:t>Cezalar</w:t>
      </w:r>
    </w:p>
    <w:p>
      <w:pPr>
        <w:pStyle w:val="BodyText"/>
        <w:spacing w:before="1"/>
        <w:rPr>
          <w:b/>
          <w:sz w:val="26"/>
        </w:rPr>
      </w:pPr>
    </w:p>
    <w:p>
      <w:pPr>
        <w:pStyle w:val="ListParagraph"/>
        <w:numPr>
          <w:ilvl w:val="0"/>
          <w:numId w:val="142"/>
        </w:numPr>
        <w:tabs>
          <w:tab w:pos="1140" w:val="left" w:leader="none"/>
        </w:tabs>
        <w:spacing w:line="276" w:lineRule="auto" w:before="0" w:after="0"/>
        <w:ind w:left="726" w:right="689" w:firstLine="0"/>
        <w:jc w:val="both"/>
        <w:rPr>
          <w:sz w:val="20"/>
        </w:rPr>
      </w:pPr>
      <w:r>
        <w:rPr>
          <w:sz w:val="20"/>
        </w:rPr>
        <w:t>Üye devletler 83. madde uyarınca idari para cezalarına tabi olmayan ihlaller başta olmak üzere bu Tüzük’e ilişkin ihlaller açısından geçerli olan diğer cezalara ilişkin kuralları belirler ve bunların uygulanmasının sağlanması amacı ile gereken tüm tedbirleri alır. Böylesi cezalar etkili, orantılı ve caydırıcı</w:t>
      </w:r>
      <w:r>
        <w:rPr>
          <w:spacing w:val="-2"/>
          <w:sz w:val="20"/>
        </w:rPr>
        <w:t> </w:t>
      </w:r>
      <w:r>
        <w:rPr>
          <w:sz w:val="20"/>
        </w:rPr>
        <w:t>olur.</w:t>
      </w:r>
    </w:p>
    <w:p>
      <w:pPr>
        <w:pStyle w:val="BodyText"/>
        <w:rPr>
          <w:sz w:val="22"/>
        </w:rPr>
      </w:pPr>
    </w:p>
    <w:p>
      <w:pPr>
        <w:pStyle w:val="BodyText"/>
        <w:spacing w:before="9"/>
        <w:rPr>
          <w:sz w:val="24"/>
        </w:rPr>
      </w:pPr>
    </w:p>
    <w:p>
      <w:pPr>
        <w:pStyle w:val="ListParagraph"/>
        <w:numPr>
          <w:ilvl w:val="0"/>
          <w:numId w:val="142"/>
        </w:numPr>
        <w:tabs>
          <w:tab w:pos="970" w:val="left" w:leader="none"/>
        </w:tabs>
        <w:spacing w:line="276" w:lineRule="auto" w:before="1" w:after="0"/>
        <w:ind w:left="726" w:right="697" w:firstLine="0"/>
        <w:jc w:val="both"/>
        <w:rPr>
          <w:sz w:val="20"/>
        </w:rPr>
      </w:pPr>
      <w:r>
        <w:rPr>
          <w:sz w:val="20"/>
        </w:rPr>
        <w:t>Her üye devlet 1. paragraf uyarınca kabul ettiği kanun hükümlerini 25 Mayıs 2018 tarihine kadar ve bunları</w:t>
      </w:r>
      <w:r>
        <w:rPr>
          <w:spacing w:val="-6"/>
          <w:sz w:val="20"/>
        </w:rPr>
        <w:t> </w:t>
      </w:r>
      <w:r>
        <w:rPr>
          <w:sz w:val="20"/>
        </w:rPr>
        <w:t>etkileyen</w:t>
      </w:r>
      <w:r>
        <w:rPr>
          <w:spacing w:val="-6"/>
          <w:sz w:val="20"/>
        </w:rPr>
        <w:t> </w:t>
      </w:r>
      <w:r>
        <w:rPr>
          <w:sz w:val="20"/>
        </w:rPr>
        <w:t>sonraki</w:t>
      </w:r>
      <w:r>
        <w:rPr>
          <w:spacing w:val="-7"/>
          <w:sz w:val="20"/>
        </w:rPr>
        <w:t> </w:t>
      </w:r>
      <w:r>
        <w:rPr>
          <w:sz w:val="20"/>
        </w:rPr>
        <w:t>değişiklikleri,</w:t>
      </w:r>
      <w:r>
        <w:rPr>
          <w:spacing w:val="-6"/>
          <w:sz w:val="20"/>
        </w:rPr>
        <w:t> </w:t>
      </w:r>
      <w:r>
        <w:rPr>
          <w:sz w:val="20"/>
        </w:rPr>
        <w:t>herhangi</w:t>
      </w:r>
      <w:r>
        <w:rPr>
          <w:spacing w:val="-5"/>
          <w:sz w:val="20"/>
        </w:rPr>
        <w:t> </w:t>
      </w:r>
      <w:r>
        <w:rPr>
          <w:sz w:val="20"/>
        </w:rPr>
        <w:t>bir</w:t>
      </w:r>
      <w:r>
        <w:rPr>
          <w:spacing w:val="-3"/>
          <w:sz w:val="20"/>
        </w:rPr>
        <w:t> </w:t>
      </w:r>
      <w:r>
        <w:rPr>
          <w:sz w:val="20"/>
        </w:rPr>
        <w:t>gecikmeye</w:t>
      </w:r>
      <w:r>
        <w:rPr>
          <w:spacing w:val="-4"/>
          <w:sz w:val="20"/>
        </w:rPr>
        <w:t> </w:t>
      </w:r>
      <w:r>
        <w:rPr>
          <w:sz w:val="20"/>
        </w:rPr>
        <w:t>mahal</w:t>
      </w:r>
      <w:r>
        <w:rPr>
          <w:spacing w:val="-7"/>
          <w:sz w:val="20"/>
        </w:rPr>
        <w:t> </w:t>
      </w:r>
      <w:r>
        <w:rPr>
          <w:sz w:val="20"/>
        </w:rPr>
        <w:t>vermeksizin,</w:t>
      </w:r>
      <w:r>
        <w:rPr>
          <w:spacing w:val="-4"/>
          <w:sz w:val="20"/>
        </w:rPr>
        <w:t> </w:t>
      </w:r>
      <w:r>
        <w:rPr>
          <w:sz w:val="20"/>
        </w:rPr>
        <w:t>Komisyon’a</w:t>
      </w:r>
      <w:r>
        <w:rPr>
          <w:spacing w:val="-6"/>
          <w:sz w:val="20"/>
        </w:rPr>
        <w:t> </w:t>
      </w:r>
      <w:r>
        <w:rPr>
          <w:sz w:val="20"/>
        </w:rPr>
        <w:t>bildirir.</w:t>
      </w:r>
    </w:p>
    <w:p>
      <w:pPr>
        <w:pStyle w:val="BodyText"/>
        <w:rPr>
          <w:sz w:val="22"/>
        </w:rPr>
      </w:pPr>
    </w:p>
    <w:p>
      <w:pPr>
        <w:pStyle w:val="BodyText"/>
        <w:rPr>
          <w:sz w:val="24"/>
        </w:rPr>
      </w:pPr>
    </w:p>
    <w:p>
      <w:pPr>
        <w:pStyle w:val="BodyText"/>
        <w:ind w:left="2207" w:right="2226"/>
        <w:jc w:val="center"/>
      </w:pPr>
      <w:r>
        <w:rPr/>
        <w:t>BÖLÜM IX</w:t>
      </w:r>
    </w:p>
    <w:p>
      <w:pPr>
        <w:pStyle w:val="BodyText"/>
        <w:spacing w:before="6"/>
        <w:rPr>
          <w:sz w:val="26"/>
        </w:rPr>
      </w:pPr>
    </w:p>
    <w:p>
      <w:pPr>
        <w:pStyle w:val="Heading1"/>
        <w:ind w:left="3393" w:right="0"/>
        <w:jc w:val="left"/>
      </w:pPr>
      <w:r>
        <w:rPr/>
        <w:t>Özel işleme durumlarına ilişkin hükümler</w:t>
      </w:r>
    </w:p>
    <w:p>
      <w:pPr>
        <w:pStyle w:val="BodyText"/>
        <w:rPr>
          <w:b/>
          <w:sz w:val="22"/>
        </w:rPr>
      </w:pPr>
    </w:p>
    <w:p>
      <w:pPr>
        <w:pStyle w:val="BodyText"/>
        <w:spacing w:before="3"/>
        <w:rPr>
          <w:b/>
          <w:sz w:val="27"/>
        </w:rPr>
      </w:pPr>
    </w:p>
    <w:p>
      <w:pPr>
        <w:pStyle w:val="BodyText"/>
        <w:spacing w:line="276" w:lineRule="auto" w:before="1"/>
        <w:ind w:left="5035" w:right="5053"/>
        <w:jc w:val="center"/>
      </w:pPr>
      <w:r>
        <w:rPr/>
        <w:t>Madde 85</w:t>
      </w:r>
    </w:p>
    <w:p>
      <w:pPr>
        <w:pStyle w:val="BodyText"/>
        <w:rPr>
          <w:sz w:val="22"/>
        </w:rPr>
      </w:pPr>
    </w:p>
    <w:p>
      <w:pPr>
        <w:pStyle w:val="BodyText"/>
        <w:spacing w:before="10"/>
        <w:rPr>
          <w:sz w:val="23"/>
        </w:rPr>
      </w:pPr>
    </w:p>
    <w:p>
      <w:pPr>
        <w:pStyle w:val="Heading1"/>
        <w:ind w:left="3367" w:right="0"/>
        <w:jc w:val="left"/>
      </w:pPr>
      <w:r>
        <w:rPr/>
        <w:t>İşleme ve ifade ve bilgi edinme özgürlüğü</w:t>
      </w:r>
    </w:p>
    <w:p>
      <w:pPr>
        <w:pStyle w:val="BodyText"/>
        <w:rPr>
          <w:b/>
          <w:sz w:val="22"/>
        </w:rPr>
      </w:pPr>
    </w:p>
    <w:p>
      <w:pPr>
        <w:pStyle w:val="BodyText"/>
        <w:spacing w:before="5"/>
        <w:rPr>
          <w:b/>
          <w:sz w:val="27"/>
        </w:rPr>
      </w:pPr>
    </w:p>
    <w:p>
      <w:pPr>
        <w:pStyle w:val="ListParagraph"/>
        <w:numPr>
          <w:ilvl w:val="0"/>
          <w:numId w:val="143"/>
        </w:numPr>
        <w:tabs>
          <w:tab w:pos="1140" w:val="left" w:leader="none"/>
        </w:tabs>
        <w:spacing w:line="276" w:lineRule="auto" w:before="1" w:after="0"/>
        <w:ind w:left="726" w:right="694" w:firstLine="0"/>
        <w:jc w:val="both"/>
        <w:rPr>
          <w:sz w:val="20"/>
        </w:rPr>
      </w:pPr>
      <w:r>
        <w:rPr>
          <w:sz w:val="20"/>
        </w:rPr>
        <w:t>Gazetecilik amaçları ve akademik, sanatsal veya edebi anlatım amaçları doğrultusunda işleme de dahil olmak üzere, üye devletler bu Tüzük uyarınca kişisel verilerin korunması hakkı ile ifade ve bilgi edinme özgürlüğü hakkını kanunla</w:t>
      </w:r>
      <w:r>
        <w:rPr>
          <w:spacing w:val="-6"/>
          <w:sz w:val="20"/>
        </w:rPr>
        <w:t> </w:t>
      </w:r>
      <w:r>
        <w:rPr>
          <w:sz w:val="20"/>
        </w:rPr>
        <w:t>bağdaştırır.</w:t>
      </w:r>
    </w:p>
    <w:p>
      <w:pPr>
        <w:pStyle w:val="BodyText"/>
        <w:rPr>
          <w:sz w:val="22"/>
        </w:rPr>
      </w:pPr>
    </w:p>
    <w:p>
      <w:pPr>
        <w:pStyle w:val="BodyText"/>
        <w:spacing w:before="6"/>
        <w:rPr>
          <w:sz w:val="28"/>
        </w:rPr>
      </w:pPr>
    </w:p>
    <w:p>
      <w:pPr>
        <w:pStyle w:val="ListParagraph"/>
        <w:numPr>
          <w:ilvl w:val="0"/>
          <w:numId w:val="143"/>
        </w:numPr>
        <w:tabs>
          <w:tab w:pos="984" w:val="left" w:leader="none"/>
        </w:tabs>
        <w:spacing w:line="276" w:lineRule="auto" w:before="0" w:after="0"/>
        <w:ind w:left="726" w:right="693" w:firstLine="0"/>
        <w:jc w:val="both"/>
        <w:rPr>
          <w:sz w:val="20"/>
        </w:rPr>
      </w:pPr>
      <w:r>
        <w:rPr>
          <w:sz w:val="20"/>
        </w:rPr>
        <w:t>Gazetecilik amaçları veya akademik, sanatsal veya edebi anlatım amacıyla gerçekleştirilen işleme faaliyeti açısından, üye devletler, kişisel verilerin korunması hakkı ile ifade ve bilgi edinme özgürlüğünü bağdaştırma amacıyla gerekli olmaları durumunda, Bölüm II (ilkeler), Bölüm III (veri sahibinin hakları), Bölüm IV (kontrolör ve işleyici), Bölüm V (kişisel verilerin üçüncü ülkeler veya uluslararası kuruluşlara aktarılması), Bölüm VI (bağımsız denetim makamları), Bölüm VII (işbirliği ve tutarlılık) ve Bölüm IX (spesifik veri işleme durumları) ile ilgili olarak muafiyetler veya derogasyonlar</w:t>
      </w:r>
      <w:r>
        <w:rPr>
          <w:spacing w:val="-17"/>
          <w:sz w:val="20"/>
        </w:rPr>
        <w:t> </w:t>
      </w:r>
      <w:r>
        <w:rPr>
          <w:sz w:val="20"/>
        </w:rPr>
        <w:t>sağlar.</w:t>
      </w:r>
    </w:p>
    <w:p>
      <w:pPr>
        <w:pStyle w:val="BodyText"/>
        <w:rPr>
          <w:sz w:val="22"/>
        </w:rPr>
      </w:pPr>
    </w:p>
    <w:p>
      <w:pPr>
        <w:pStyle w:val="BodyText"/>
        <w:spacing w:before="2"/>
        <w:rPr>
          <w:sz w:val="24"/>
        </w:rPr>
      </w:pPr>
    </w:p>
    <w:p>
      <w:pPr>
        <w:pStyle w:val="BodyText"/>
        <w:tabs>
          <w:tab w:pos="1132" w:val="left" w:leader="none"/>
        </w:tabs>
        <w:spacing w:line="554" w:lineRule="auto"/>
        <w:ind w:left="726" w:right="1165"/>
      </w:pPr>
      <w:r>
        <w:rPr/>
        <w:t>2.</w:t>
        <w:tab/>
        <w:t>Her üye devlet 2. paragraf uyarınca kabul ettiği kanun hükümlerini ve bunları etkileyen sonraki değişiklik</w:t>
      </w:r>
      <w:r>
        <w:rPr>
          <w:spacing w:val="-7"/>
        </w:rPr>
        <w:t> </w:t>
      </w:r>
      <w:r>
        <w:rPr/>
        <w:t>kanunu</w:t>
      </w:r>
      <w:r>
        <w:rPr>
          <w:spacing w:val="-6"/>
        </w:rPr>
        <w:t> </w:t>
      </w:r>
      <w:r>
        <w:rPr/>
        <w:t>veya</w:t>
      </w:r>
      <w:r>
        <w:rPr>
          <w:spacing w:val="-8"/>
        </w:rPr>
        <w:t> </w:t>
      </w:r>
      <w:r>
        <w:rPr/>
        <w:t>değişiklikleri,</w:t>
      </w:r>
      <w:r>
        <w:rPr>
          <w:spacing w:val="-8"/>
        </w:rPr>
        <w:t> </w:t>
      </w:r>
      <w:r>
        <w:rPr/>
        <w:t>herhangi</w:t>
      </w:r>
      <w:r>
        <w:rPr>
          <w:spacing w:val="-7"/>
        </w:rPr>
        <w:t> </w:t>
      </w:r>
      <w:r>
        <w:rPr/>
        <w:t>bir</w:t>
      </w:r>
      <w:r>
        <w:rPr>
          <w:spacing w:val="-5"/>
        </w:rPr>
        <w:t> </w:t>
      </w:r>
      <w:r>
        <w:rPr/>
        <w:t>gecikmeye</w:t>
      </w:r>
      <w:r>
        <w:rPr>
          <w:spacing w:val="-8"/>
        </w:rPr>
        <w:t> </w:t>
      </w:r>
      <w:r>
        <w:rPr/>
        <w:t>mahal</w:t>
      </w:r>
      <w:r>
        <w:rPr>
          <w:spacing w:val="-7"/>
        </w:rPr>
        <w:t> </w:t>
      </w:r>
      <w:r>
        <w:rPr/>
        <w:t>vermeksizin,</w:t>
      </w:r>
      <w:r>
        <w:rPr>
          <w:spacing w:val="-6"/>
        </w:rPr>
        <w:t> </w:t>
      </w:r>
      <w:r>
        <w:rPr/>
        <w:t>Komisyon’a</w:t>
      </w:r>
      <w:r>
        <w:rPr>
          <w:spacing w:val="-6"/>
        </w:rPr>
        <w:t> </w:t>
      </w:r>
      <w:r>
        <w:rPr/>
        <w:t>bildirir.</w:t>
      </w:r>
    </w:p>
    <w:p>
      <w:pPr>
        <w:spacing w:after="0" w:line="554" w:lineRule="auto"/>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line="276" w:lineRule="auto" w:before="66"/>
        <w:ind w:left="5035" w:right="5053"/>
        <w:jc w:val="center"/>
      </w:pPr>
      <w:r>
        <w:rPr/>
        <w:t>Madde 86</w:t>
      </w:r>
    </w:p>
    <w:p>
      <w:pPr>
        <w:pStyle w:val="BodyText"/>
        <w:spacing w:before="2"/>
        <w:rPr>
          <w:sz w:val="24"/>
        </w:rPr>
      </w:pPr>
    </w:p>
    <w:p>
      <w:pPr>
        <w:pStyle w:val="Heading1"/>
        <w:ind w:left="2206"/>
      </w:pPr>
      <w:r>
        <w:rPr/>
        <w:t>İşleme ve halkın resmi belgelere erişimi</w:t>
      </w:r>
    </w:p>
    <w:p>
      <w:pPr>
        <w:pStyle w:val="BodyText"/>
        <w:rPr>
          <w:b/>
          <w:sz w:val="22"/>
        </w:rPr>
      </w:pPr>
    </w:p>
    <w:p>
      <w:pPr>
        <w:pStyle w:val="BodyText"/>
        <w:spacing w:before="1"/>
        <w:rPr>
          <w:b/>
          <w:sz w:val="28"/>
        </w:rPr>
      </w:pPr>
    </w:p>
    <w:p>
      <w:pPr>
        <w:pStyle w:val="BodyText"/>
        <w:spacing w:line="276" w:lineRule="auto" w:before="1"/>
        <w:ind w:left="726" w:right="694"/>
        <w:jc w:val="both"/>
      </w:pPr>
      <w:r>
        <w:rPr/>
        <w:t>Bir kamu kuruluşu veya bir kamu organı ya da bir özel organ tarafından kamu yararına gerçekleştirilen bir görevin yerine getirilmesi amacı ile tutulan resmi belgelerdeki kişisel veriler, halkın resmi belgelere erişiminin bu Tüzük uyarınca kişisel verilerin korunması hakkıyla bağdaştırılması amacıyla, kamu kuruluşu ya da organının tabi olduğu Birlik veya üye devlet hukuku uyarınca kuruluş veya organ tarafından</w:t>
      </w:r>
      <w:r>
        <w:rPr>
          <w:spacing w:val="-1"/>
        </w:rPr>
        <w:t> </w:t>
      </w:r>
      <w:r>
        <w:rPr/>
        <w:t>açıklanabilir.</w:t>
      </w:r>
    </w:p>
    <w:p>
      <w:pPr>
        <w:pStyle w:val="BodyText"/>
        <w:rPr>
          <w:sz w:val="23"/>
        </w:rPr>
      </w:pPr>
    </w:p>
    <w:p>
      <w:pPr>
        <w:pStyle w:val="BodyText"/>
        <w:spacing w:line="276" w:lineRule="auto"/>
        <w:ind w:left="5035" w:right="5053"/>
        <w:jc w:val="center"/>
      </w:pPr>
      <w:r>
        <w:rPr/>
        <w:t>Madde 87</w:t>
      </w:r>
    </w:p>
    <w:p>
      <w:pPr>
        <w:pStyle w:val="BodyText"/>
        <w:spacing w:before="1"/>
        <w:rPr>
          <w:sz w:val="24"/>
        </w:rPr>
      </w:pPr>
    </w:p>
    <w:p>
      <w:pPr>
        <w:pStyle w:val="Heading1"/>
        <w:ind w:left="2202"/>
      </w:pPr>
      <w:r>
        <w:rPr/>
        <w:t>Ulusal kimlik numarasının işlenmesi</w:t>
      </w:r>
    </w:p>
    <w:p>
      <w:pPr>
        <w:pStyle w:val="BodyText"/>
        <w:rPr>
          <w:b/>
          <w:sz w:val="22"/>
        </w:rPr>
      </w:pPr>
    </w:p>
    <w:p>
      <w:pPr>
        <w:pStyle w:val="BodyText"/>
        <w:spacing w:before="1"/>
        <w:rPr>
          <w:b/>
          <w:sz w:val="28"/>
        </w:rPr>
      </w:pPr>
    </w:p>
    <w:p>
      <w:pPr>
        <w:pStyle w:val="BodyText"/>
        <w:spacing w:line="276" w:lineRule="auto" w:before="1"/>
        <w:ind w:left="726" w:right="695"/>
        <w:jc w:val="both"/>
      </w:pPr>
      <w:r>
        <w:rPr/>
        <w:t>Üye devletler bir ulusal kimlik numarası veya genel uygulamaya ilişkin başka bir tanımlayıcının işlenmesine özgü koşulları da belirleyebilir. Bu durumda, ulusal kimlik numarası veya genel uygulamaya ilişkin başka bir tanımlayıcı ancak veri sahibinin bu Tüzük uyarınca hakları ve özgürlüklerine ilişkin uygun güvenceler çerçevesinde kullanılır.</w:t>
      </w:r>
    </w:p>
    <w:p>
      <w:pPr>
        <w:pStyle w:val="BodyText"/>
        <w:rPr>
          <w:sz w:val="23"/>
        </w:rPr>
      </w:pPr>
    </w:p>
    <w:p>
      <w:pPr>
        <w:pStyle w:val="BodyText"/>
        <w:spacing w:line="276" w:lineRule="auto"/>
        <w:ind w:left="5035" w:right="5053"/>
        <w:jc w:val="center"/>
      </w:pPr>
      <w:r>
        <w:rPr/>
        <w:t>Madde 88</w:t>
      </w:r>
    </w:p>
    <w:p>
      <w:pPr>
        <w:pStyle w:val="BodyText"/>
        <w:spacing w:before="1"/>
        <w:rPr>
          <w:sz w:val="24"/>
        </w:rPr>
      </w:pPr>
    </w:p>
    <w:p>
      <w:pPr>
        <w:pStyle w:val="Heading1"/>
        <w:spacing w:before="1"/>
        <w:ind w:left="2205"/>
      </w:pPr>
      <w:r>
        <w:rPr/>
        <w:t>İş bağlamındaki işleme</w:t>
      </w:r>
    </w:p>
    <w:p>
      <w:pPr>
        <w:pStyle w:val="BodyText"/>
        <w:spacing w:before="1"/>
        <w:rPr>
          <w:b/>
          <w:sz w:val="26"/>
        </w:rPr>
      </w:pPr>
    </w:p>
    <w:p>
      <w:pPr>
        <w:pStyle w:val="ListParagraph"/>
        <w:numPr>
          <w:ilvl w:val="0"/>
          <w:numId w:val="144"/>
        </w:numPr>
        <w:tabs>
          <w:tab w:pos="987" w:val="left" w:leader="none"/>
        </w:tabs>
        <w:spacing w:line="276" w:lineRule="auto" w:before="0" w:after="0"/>
        <w:ind w:left="726" w:right="697" w:firstLine="0"/>
        <w:jc w:val="both"/>
        <w:rPr>
          <w:sz w:val="20"/>
        </w:rPr>
      </w:pPr>
      <w:r>
        <w:rPr>
          <w:sz w:val="20"/>
        </w:rPr>
        <w:t>Üye devletler özellikle işe alım, kanunla ya da toplu sözleşmeler yoluyla belirtilen yükümlülüklerin yerine getirilmesi de dahil olmak üzere iş sözleşmesinin yürütülmesi, çalışma, iş yerinde eşitlik ve çeşitlilik, iş sağlığı ve güvenliğinin yönetimi, planlanması ve düzenlenmesi,</w:t>
      </w:r>
      <w:r>
        <w:rPr>
          <w:spacing w:val="-11"/>
          <w:sz w:val="20"/>
        </w:rPr>
        <w:t> </w:t>
      </w:r>
      <w:r>
        <w:rPr>
          <w:sz w:val="20"/>
        </w:rPr>
        <w:t>işverenin</w:t>
      </w:r>
    </w:p>
    <w:p>
      <w:pPr>
        <w:pStyle w:val="BodyText"/>
        <w:spacing w:line="276" w:lineRule="auto" w:before="1"/>
        <w:ind w:left="726" w:right="691"/>
        <w:jc w:val="both"/>
      </w:pPr>
      <w:r>
        <w:rPr/>
        <w:t>veya müşterinin mallarının korunması ile ilgili amaçlar ve istihdam ile ilgili haklar ve menfaatlerin münferit ya da toplu olarak kullanımı ve bunlardan yararlanılmasına ilişkin amaçlar ve iş ilişkisinin sona erdirilmesine ilişkin amaçlar doğrultusunda çalışanların kişisel verilerinin iş bağlamında işlenmesine yönelik hakların ve özgürlüklerin korunmasının sağlanması amacıyla kanun veya toplu sözleşmeler çerçevesinde daha spesifik kurallar belirleyebilir.</w:t>
      </w:r>
    </w:p>
    <w:p>
      <w:pPr>
        <w:pStyle w:val="BodyText"/>
        <w:rPr>
          <w:sz w:val="22"/>
        </w:rPr>
      </w:pPr>
    </w:p>
    <w:p>
      <w:pPr>
        <w:pStyle w:val="BodyText"/>
        <w:spacing w:before="2"/>
        <w:rPr>
          <w:sz w:val="24"/>
        </w:rPr>
      </w:pPr>
    </w:p>
    <w:p>
      <w:pPr>
        <w:pStyle w:val="ListParagraph"/>
        <w:numPr>
          <w:ilvl w:val="0"/>
          <w:numId w:val="144"/>
        </w:numPr>
        <w:tabs>
          <w:tab w:pos="960" w:val="left" w:leader="none"/>
        </w:tabs>
        <w:spacing w:line="276" w:lineRule="auto" w:before="0" w:after="0"/>
        <w:ind w:left="726" w:right="695" w:firstLine="0"/>
        <w:jc w:val="both"/>
        <w:rPr>
          <w:sz w:val="20"/>
        </w:rPr>
      </w:pPr>
      <w:r>
        <w:rPr>
          <w:sz w:val="20"/>
        </w:rPr>
        <w:t>Bu kurallar özellikle işleme faaliyetinin şeffaflığı, ortak bir ekonomik faaliyette bulunan bir teşebbüsler grubu veya bir işletmeler grubu içerisinde kişisel verilerin aktarılması ve iş yerindeki sistemlerin izlenmesi ile ilgili olarak veri sahibinin insanlık onuru, meşru menfaatleri ve temel haklarının güvence altına alınmasına ilişkin uygun ve spesifik tedbirleri</w:t>
      </w:r>
      <w:r>
        <w:rPr>
          <w:spacing w:val="-2"/>
          <w:sz w:val="20"/>
        </w:rPr>
        <w:t> </w:t>
      </w:r>
      <w:r>
        <w:rPr>
          <w:sz w:val="20"/>
        </w:rPr>
        <w:t>içerir.</w:t>
      </w:r>
    </w:p>
    <w:p>
      <w:pPr>
        <w:pStyle w:val="BodyText"/>
        <w:rPr>
          <w:sz w:val="22"/>
        </w:rPr>
      </w:pPr>
    </w:p>
    <w:p>
      <w:pPr>
        <w:pStyle w:val="BodyText"/>
        <w:spacing w:before="2"/>
        <w:rPr>
          <w:sz w:val="24"/>
        </w:rPr>
      </w:pPr>
    </w:p>
    <w:p>
      <w:pPr>
        <w:pStyle w:val="ListParagraph"/>
        <w:numPr>
          <w:ilvl w:val="0"/>
          <w:numId w:val="144"/>
        </w:numPr>
        <w:tabs>
          <w:tab w:pos="970" w:val="left" w:leader="none"/>
        </w:tabs>
        <w:spacing w:line="276" w:lineRule="auto" w:before="0" w:after="0"/>
        <w:ind w:left="726" w:right="686" w:firstLine="0"/>
        <w:jc w:val="both"/>
        <w:rPr>
          <w:sz w:val="20"/>
        </w:rPr>
      </w:pPr>
      <w:r>
        <w:rPr>
          <w:sz w:val="20"/>
        </w:rPr>
        <w:t>Her üye devlet 1. paragraf uyarınca kabul ettiği kanun hükümlerini 25 Mayıs 2018 tarihine kadar ve bunları</w:t>
      </w:r>
      <w:r>
        <w:rPr>
          <w:spacing w:val="-6"/>
          <w:sz w:val="20"/>
        </w:rPr>
        <w:t> </w:t>
      </w:r>
      <w:r>
        <w:rPr>
          <w:sz w:val="20"/>
        </w:rPr>
        <w:t>etkileyen</w:t>
      </w:r>
      <w:r>
        <w:rPr>
          <w:spacing w:val="-6"/>
          <w:sz w:val="20"/>
        </w:rPr>
        <w:t> </w:t>
      </w:r>
      <w:r>
        <w:rPr>
          <w:sz w:val="20"/>
        </w:rPr>
        <w:t>sonraki</w:t>
      </w:r>
      <w:r>
        <w:rPr>
          <w:spacing w:val="-6"/>
          <w:sz w:val="20"/>
        </w:rPr>
        <w:t> </w:t>
      </w:r>
      <w:r>
        <w:rPr>
          <w:sz w:val="20"/>
        </w:rPr>
        <w:t>değişiklikleri,</w:t>
      </w:r>
      <w:r>
        <w:rPr>
          <w:spacing w:val="-6"/>
          <w:sz w:val="20"/>
        </w:rPr>
        <w:t> </w:t>
      </w:r>
      <w:r>
        <w:rPr>
          <w:sz w:val="20"/>
        </w:rPr>
        <w:t>herhangi</w:t>
      </w:r>
      <w:r>
        <w:rPr>
          <w:spacing w:val="-5"/>
          <w:sz w:val="20"/>
        </w:rPr>
        <w:t> </w:t>
      </w:r>
      <w:r>
        <w:rPr>
          <w:sz w:val="20"/>
        </w:rPr>
        <w:t>bir</w:t>
      </w:r>
      <w:r>
        <w:rPr>
          <w:spacing w:val="-3"/>
          <w:sz w:val="20"/>
        </w:rPr>
        <w:t> </w:t>
      </w:r>
      <w:r>
        <w:rPr>
          <w:sz w:val="20"/>
        </w:rPr>
        <w:t>gecikmeye</w:t>
      </w:r>
      <w:r>
        <w:rPr>
          <w:spacing w:val="-4"/>
          <w:sz w:val="20"/>
        </w:rPr>
        <w:t> </w:t>
      </w:r>
      <w:r>
        <w:rPr>
          <w:sz w:val="20"/>
        </w:rPr>
        <w:t>mahal</w:t>
      </w:r>
      <w:r>
        <w:rPr>
          <w:spacing w:val="-6"/>
          <w:sz w:val="20"/>
        </w:rPr>
        <w:t> </w:t>
      </w:r>
      <w:r>
        <w:rPr>
          <w:sz w:val="20"/>
        </w:rPr>
        <w:t>vermeksizin,</w:t>
      </w:r>
      <w:r>
        <w:rPr>
          <w:spacing w:val="-4"/>
          <w:sz w:val="20"/>
        </w:rPr>
        <w:t> </w:t>
      </w:r>
      <w:r>
        <w:rPr>
          <w:sz w:val="20"/>
        </w:rPr>
        <w:t>Komisyon’a</w:t>
      </w:r>
      <w:r>
        <w:rPr>
          <w:spacing w:val="-6"/>
          <w:sz w:val="20"/>
        </w:rPr>
        <w:t> </w:t>
      </w:r>
      <w:r>
        <w:rPr>
          <w:sz w:val="20"/>
        </w:rPr>
        <w:t>bildirir.</w:t>
      </w:r>
    </w:p>
    <w:p>
      <w:pPr>
        <w:pStyle w:val="BodyText"/>
        <w:rPr>
          <w:sz w:val="22"/>
        </w:rPr>
      </w:pPr>
    </w:p>
    <w:p>
      <w:pPr>
        <w:pStyle w:val="BodyText"/>
        <w:spacing w:before="3"/>
        <w:rPr>
          <w:sz w:val="24"/>
        </w:rPr>
      </w:pPr>
    </w:p>
    <w:p>
      <w:pPr>
        <w:pStyle w:val="BodyText"/>
        <w:spacing w:line="276" w:lineRule="auto"/>
        <w:ind w:left="4939" w:right="5139"/>
      </w:pPr>
      <w:r>
        <w:rPr/>
        <w:t>Madde 89</w:t>
      </w:r>
    </w:p>
    <w:p>
      <w:pPr>
        <w:pStyle w:val="BodyText"/>
        <w:rPr>
          <w:sz w:val="22"/>
        </w:rPr>
      </w:pPr>
    </w:p>
    <w:p>
      <w:pPr>
        <w:pStyle w:val="BodyText"/>
        <w:spacing w:before="3"/>
        <w:rPr>
          <w:sz w:val="24"/>
        </w:rPr>
      </w:pPr>
    </w:p>
    <w:p>
      <w:pPr>
        <w:pStyle w:val="Heading1"/>
        <w:spacing w:line="276" w:lineRule="auto"/>
        <w:ind w:left="1270" w:right="1295"/>
      </w:pPr>
      <w:r>
        <w:rPr/>
        <w:t>Kamu yararına arşivleme amaçları, bilimsel veya tarihi araştırma amaçları ya da istatistiki amaçlar doğrultusunda işleme faaliyetine ilişkin güvenceler ve</w:t>
      </w:r>
    </w:p>
    <w:p>
      <w:pPr>
        <w:pStyle w:val="BodyText"/>
        <w:spacing w:before="1"/>
        <w:rPr>
          <w:b/>
          <w:sz w:val="23"/>
        </w:rPr>
      </w:pPr>
    </w:p>
    <w:p>
      <w:pPr>
        <w:spacing w:before="0"/>
        <w:ind w:left="2206" w:right="2227" w:firstLine="0"/>
        <w:jc w:val="center"/>
        <w:rPr>
          <w:b/>
          <w:sz w:val="20"/>
        </w:rPr>
      </w:pPr>
      <w:r>
        <w:rPr>
          <w:b/>
          <w:sz w:val="20"/>
        </w:rPr>
        <w:t>derogasyonlar</w:t>
      </w:r>
    </w:p>
    <w:p>
      <w:pPr>
        <w:spacing w:after="0"/>
        <w:jc w:val="center"/>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145"/>
        </w:numPr>
        <w:tabs>
          <w:tab w:pos="1140" w:val="left" w:leader="none"/>
        </w:tabs>
        <w:spacing w:line="276" w:lineRule="auto" w:before="66" w:after="0"/>
        <w:ind w:left="726" w:right="694" w:firstLine="0"/>
        <w:jc w:val="both"/>
        <w:rPr>
          <w:sz w:val="20"/>
        </w:rPr>
      </w:pPr>
      <w:r>
        <w:rPr>
          <w:sz w:val="20"/>
        </w:rPr>
        <w:t>Kamu yararına arşivleme amaçları, bilimsel veya tarihi araştırma amaçları ya da istatistiki amaçlar doğrultusunda işleme faaliyeti bu Tüzük uyarınca veri sahibinin hakları ve özgürlükleri açısından uygun güvencelere tabidir. Bu güvenceler ile özellikle verilerin en alt düzeye indirilmesi ilkesine uygun hareket edilmesinin sağlanması amacı ile teknik ve düzenlemeye ilişkin tedbirlerin uygulamaya konması sağlanır. Bu amaçların bu şekilde yerine getirilebilmesi koşuluyla, bu tedbirler takma ad kullanımını içerebilir. Bu amaçların veri sahiplerinin teşhis edilmesine olanak tanımayan veya artık olanak tanımayan ek işleme faaliyetleri ile yakalandığı hallerde, söz konusu amaçlar bu şekilde</w:t>
      </w:r>
      <w:r>
        <w:rPr>
          <w:spacing w:val="-8"/>
          <w:sz w:val="20"/>
        </w:rPr>
        <w:t> </w:t>
      </w:r>
      <w:r>
        <w:rPr>
          <w:sz w:val="20"/>
        </w:rPr>
        <w:t>yakalanır.</w:t>
      </w:r>
    </w:p>
    <w:p>
      <w:pPr>
        <w:pStyle w:val="BodyText"/>
        <w:rPr>
          <w:sz w:val="22"/>
        </w:rPr>
      </w:pPr>
    </w:p>
    <w:p>
      <w:pPr>
        <w:pStyle w:val="BodyText"/>
        <w:spacing w:before="11"/>
        <w:rPr>
          <w:sz w:val="24"/>
        </w:rPr>
      </w:pPr>
    </w:p>
    <w:p>
      <w:pPr>
        <w:pStyle w:val="ListParagraph"/>
        <w:numPr>
          <w:ilvl w:val="0"/>
          <w:numId w:val="145"/>
        </w:numPr>
        <w:tabs>
          <w:tab w:pos="955" w:val="left" w:leader="none"/>
        </w:tabs>
        <w:spacing w:line="276" w:lineRule="auto" w:before="0" w:after="0"/>
        <w:ind w:left="726" w:right="696" w:firstLine="0"/>
        <w:jc w:val="both"/>
        <w:rPr>
          <w:sz w:val="20"/>
        </w:rPr>
      </w:pPr>
      <w:r>
        <w:rPr>
          <w:sz w:val="20"/>
        </w:rPr>
        <w:t>Kişisel verilerin bilimsel veya tarihi araştırma amaçları ya da istatistiki amaçlar doğrultusunda işlendiği hallerde, Birlik veya üye devlet hukuku çerçevesinde, 15, 16, 18 ve 21. maddelerde atıfta bulunulan hakların spesifik amaçlara ulaşılmasını imkansız hale getirmesinin veya ulaşılmasına ciddi şekilde zarar vermesinin muhtemel olduğu ve derogasyonların bu amaçlara ulaşılması için gerekli olduğu ölçüde, bu maddenin 1. paragrafında atıfta bulunulan koşullar ve güvencelere tabi olarak böylesi haklardan derogasyonlar</w:t>
      </w:r>
      <w:r>
        <w:rPr>
          <w:spacing w:val="-2"/>
          <w:sz w:val="20"/>
        </w:rPr>
        <w:t> </w:t>
      </w:r>
      <w:r>
        <w:rPr>
          <w:sz w:val="20"/>
        </w:rPr>
        <w:t>sağlanabilir.</w:t>
      </w:r>
    </w:p>
    <w:p>
      <w:pPr>
        <w:pStyle w:val="BodyText"/>
        <w:rPr>
          <w:sz w:val="22"/>
        </w:rPr>
      </w:pPr>
    </w:p>
    <w:p>
      <w:pPr>
        <w:pStyle w:val="BodyText"/>
        <w:spacing w:before="8"/>
        <w:rPr>
          <w:sz w:val="24"/>
        </w:rPr>
      </w:pPr>
    </w:p>
    <w:p>
      <w:pPr>
        <w:pStyle w:val="ListParagraph"/>
        <w:numPr>
          <w:ilvl w:val="0"/>
          <w:numId w:val="145"/>
        </w:numPr>
        <w:tabs>
          <w:tab w:pos="982" w:val="left" w:leader="none"/>
        </w:tabs>
        <w:spacing w:line="276" w:lineRule="auto" w:before="1" w:after="0"/>
        <w:ind w:left="726" w:right="698" w:firstLine="0"/>
        <w:jc w:val="both"/>
        <w:rPr>
          <w:sz w:val="20"/>
        </w:rPr>
      </w:pPr>
      <w:r>
        <w:rPr>
          <w:sz w:val="20"/>
        </w:rPr>
        <w:t>Kişisel verilerin kamu yararına arşivleme amaçları doğrultusunda işlendiği hallerde, Birlik veya üye devlet hukuku çerçevesinde, 15, 16, 18, 19, 20 ve 21. maddelerde atıfta bulunulan hakların spesifik amaçların yakalanmasını imkansız hale getirmesinin veya yakalanmasına ciddi şekilde zarar vermesinin muhtemel olduğu ve derogasyonların bu amaçların yakalanması için gerekli olduğu ölçüde, bu</w:t>
      </w:r>
      <w:r>
        <w:rPr>
          <w:spacing w:val="-34"/>
          <w:sz w:val="20"/>
        </w:rPr>
        <w:t> </w:t>
      </w:r>
      <w:r>
        <w:rPr>
          <w:sz w:val="20"/>
        </w:rPr>
        <w:t>maddenin</w:t>
      </w:r>
    </w:p>
    <w:p>
      <w:pPr>
        <w:pStyle w:val="BodyText"/>
        <w:spacing w:line="276" w:lineRule="auto"/>
        <w:ind w:left="726" w:right="693"/>
        <w:jc w:val="both"/>
      </w:pPr>
      <w:r>
        <w:rPr/>
        <w:t>1. paragrafında atıfta bulunulan koşullar ve güvencelere tabi olarak böylesi haklardan derogasyonlar sağlanabilir.</w:t>
      </w:r>
    </w:p>
    <w:p>
      <w:pPr>
        <w:pStyle w:val="BodyText"/>
        <w:rPr>
          <w:sz w:val="22"/>
        </w:rPr>
      </w:pPr>
    </w:p>
    <w:p>
      <w:pPr>
        <w:pStyle w:val="BodyText"/>
        <w:spacing w:before="8"/>
        <w:rPr>
          <w:sz w:val="24"/>
        </w:rPr>
      </w:pPr>
    </w:p>
    <w:p>
      <w:pPr>
        <w:pStyle w:val="BodyText"/>
        <w:spacing w:line="276" w:lineRule="auto"/>
        <w:ind w:left="726" w:right="699"/>
        <w:jc w:val="both"/>
      </w:pPr>
      <w:r>
        <w:rPr/>
        <w:t>4. 2 ve 3. paragrafta atıfta bulunulan işleme faaliyetinin aynı zamanda başka bir amaca hizmet ettiği hallerde, derogasyonlar yalnızca bu paragraflarda atıfta bulunulan amaçlara yönelik işleme faaliyetine uygulanır.</w:t>
      </w:r>
    </w:p>
    <w:p>
      <w:pPr>
        <w:pStyle w:val="BodyText"/>
        <w:rPr>
          <w:sz w:val="22"/>
        </w:rPr>
      </w:pPr>
    </w:p>
    <w:p>
      <w:pPr>
        <w:pStyle w:val="BodyText"/>
        <w:spacing w:before="2"/>
        <w:rPr>
          <w:sz w:val="24"/>
        </w:rPr>
      </w:pPr>
    </w:p>
    <w:p>
      <w:pPr>
        <w:pStyle w:val="BodyText"/>
        <w:spacing w:line="276" w:lineRule="auto" w:before="1"/>
        <w:ind w:left="5035" w:right="5053"/>
        <w:jc w:val="center"/>
      </w:pPr>
      <w:r>
        <w:rPr/>
        <w:t>Madde 90</w:t>
      </w:r>
    </w:p>
    <w:p>
      <w:pPr>
        <w:pStyle w:val="BodyText"/>
        <w:rPr>
          <w:sz w:val="22"/>
        </w:rPr>
      </w:pPr>
    </w:p>
    <w:p>
      <w:pPr>
        <w:pStyle w:val="BodyText"/>
        <w:spacing w:before="7"/>
        <w:rPr>
          <w:sz w:val="23"/>
        </w:rPr>
      </w:pPr>
    </w:p>
    <w:p>
      <w:pPr>
        <w:pStyle w:val="Heading1"/>
        <w:spacing w:line="278" w:lineRule="auto"/>
        <w:ind w:left="4634" w:right="4644" w:firstLine="384"/>
        <w:jc w:val="left"/>
      </w:pPr>
      <w:r>
        <w:rPr/>
        <w:t>Gizlilik yükümlülükleri</w:t>
      </w:r>
    </w:p>
    <w:p>
      <w:pPr>
        <w:pStyle w:val="BodyText"/>
        <w:rPr>
          <w:b/>
          <w:sz w:val="22"/>
        </w:rPr>
      </w:pPr>
    </w:p>
    <w:p>
      <w:pPr>
        <w:pStyle w:val="BodyText"/>
        <w:spacing w:before="6"/>
        <w:rPr>
          <w:b/>
          <w:sz w:val="24"/>
        </w:rPr>
      </w:pPr>
    </w:p>
    <w:p>
      <w:pPr>
        <w:pStyle w:val="ListParagraph"/>
        <w:numPr>
          <w:ilvl w:val="0"/>
          <w:numId w:val="146"/>
        </w:numPr>
        <w:tabs>
          <w:tab w:pos="1140" w:val="left" w:leader="none"/>
        </w:tabs>
        <w:spacing w:line="276" w:lineRule="auto" w:before="0" w:after="0"/>
        <w:ind w:left="726" w:right="698" w:firstLine="0"/>
        <w:jc w:val="both"/>
        <w:rPr>
          <w:sz w:val="20"/>
        </w:rPr>
      </w:pPr>
      <w:r>
        <w:rPr>
          <w:sz w:val="20"/>
        </w:rPr>
        <w:t>Üye devletler, kişisel verilerin korunması hakkı ile gizlilik yükümlülüğünün bağdaştırılması amacı ile gerekli ve orantılı olduğu hallerde, Birlik veya üye devlet hukuku ya da ulusal yetkin makamlar tarafından koyulan kurallar çerçevesinde bir mesleki gizlilik yükümlülüğüne ya da diğer eşdeğer gizlilik yükümlülüklerine tabi kontrolörler veya işleyiciler ile ilgili olarak denetim makamlarının</w:t>
      </w:r>
      <w:r>
        <w:rPr>
          <w:spacing w:val="10"/>
          <w:sz w:val="20"/>
        </w:rPr>
        <w:t> </w:t>
      </w:r>
      <w:r>
        <w:rPr>
          <w:sz w:val="20"/>
        </w:rPr>
        <w:t>58(1) maddesinin</w:t>
      </w:r>
    </w:p>
    <w:p>
      <w:pPr>
        <w:pStyle w:val="BodyText"/>
        <w:spacing w:line="276" w:lineRule="auto"/>
        <w:ind w:left="726" w:right="694"/>
        <w:jc w:val="both"/>
      </w:pPr>
      <w:r>
        <w:rPr/>
        <w:t>(e) ve (f) bentlerinde belirtilen yetkilerini ortaya koymak üzere spesifik kurallar kabul edebilir. Bu kurallar yalnızca kontrolör veya işleyicinin bu gizlilik yükümlülüğü kapsamına giren bir faaliyet sonucu aldığı veya bu faaliyet esnasında elde ettiği kişisel veriler açısından uygulanır.</w:t>
      </w:r>
    </w:p>
    <w:p>
      <w:pPr>
        <w:pStyle w:val="BodyText"/>
        <w:spacing w:before="10"/>
        <w:rPr>
          <w:sz w:val="22"/>
        </w:rPr>
      </w:pPr>
    </w:p>
    <w:p>
      <w:pPr>
        <w:pStyle w:val="ListParagraph"/>
        <w:numPr>
          <w:ilvl w:val="0"/>
          <w:numId w:val="146"/>
        </w:numPr>
        <w:tabs>
          <w:tab w:pos="1140" w:val="left" w:leader="none"/>
        </w:tabs>
        <w:spacing w:line="276" w:lineRule="auto" w:before="0" w:after="0"/>
        <w:ind w:left="726" w:right="700" w:firstLine="0"/>
        <w:jc w:val="both"/>
        <w:rPr>
          <w:sz w:val="20"/>
        </w:rPr>
      </w:pPr>
      <w:r>
        <w:rPr>
          <w:sz w:val="20"/>
        </w:rPr>
        <w:t>Her üye devlet 1. paragraf uyarınca kabul edilen kuralları 25 Mayıs 2018 tarihine kadar ve bunları etkileyen sonraki değişiklikleri, herhangi bir gecikmeye mahal vermeksizin, Komisyon’a</w:t>
      </w:r>
      <w:r>
        <w:rPr>
          <w:spacing w:val="-24"/>
          <w:sz w:val="20"/>
        </w:rPr>
        <w:t> </w:t>
      </w:r>
      <w:r>
        <w:rPr>
          <w:sz w:val="20"/>
        </w:rPr>
        <w:t>bildirir.</w:t>
      </w:r>
    </w:p>
    <w:p>
      <w:pPr>
        <w:pStyle w:val="BodyText"/>
        <w:spacing w:before="3"/>
        <w:rPr>
          <w:sz w:val="23"/>
        </w:rPr>
      </w:pPr>
    </w:p>
    <w:p>
      <w:pPr>
        <w:pStyle w:val="BodyText"/>
        <w:spacing w:line="276" w:lineRule="auto" w:before="1"/>
        <w:ind w:left="5035" w:right="5053"/>
        <w:jc w:val="center"/>
      </w:pPr>
      <w:r>
        <w:rPr/>
        <w:t>Madde 91</w:t>
      </w:r>
    </w:p>
    <w:p>
      <w:pPr>
        <w:pStyle w:val="BodyText"/>
        <w:rPr>
          <w:sz w:val="22"/>
        </w:rPr>
      </w:pPr>
    </w:p>
    <w:p>
      <w:pPr>
        <w:pStyle w:val="BodyText"/>
        <w:spacing w:before="9"/>
        <w:rPr>
          <w:sz w:val="23"/>
        </w:rPr>
      </w:pPr>
    </w:p>
    <w:p>
      <w:pPr>
        <w:pStyle w:val="Heading1"/>
        <w:ind w:left="2199"/>
      </w:pPr>
      <w:r>
        <w:rPr/>
        <w:t>Kiliseler ve dini cemiyetlerin mevcut veri koruma kuralları</w:t>
      </w:r>
    </w:p>
    <w:p>
      <w:pPr>
        <w:pStyle w:val="BodyText"/>
        <w:rPr>
          <w:b/>
          <w:sz w:val="22"/>
        </w:rPr>
      </w:pPr>
    </w:p>
    <w:p>
      <w:pPr>
        <w:pStyle w:val="BodyText"/>
        <w:spacing w:before="8"/>
        <w:rPr>
          <w:b/>
          <w:sz w:val="27"/>
        </w:rPr>
      </w:pPr>
    </w:p>
    <w:p>
      <w:pPr>
        <w:pStyle w:val="ListParagraph"/>
        <w:numPr>
          <w:ilvl w:val="0"/>
          <w:numId w:val="147"/>
        </w:numPr>
        <w:tabs>
          <w:tab w:pos="1087" w:val="left" w:leader="none"/>
        </w:tabs>
        <w:spacing w:line="240" w:lineRule="auto" w:before="0" w:after="0"/>
        <w:ind w:left="726" w:right="0" w:firstLine="0"/>
        <w:jc w:val="both"/>
        <w:rPr>
          <w:sz w:val="20"/>
        </w:rPr>
      </w:pPr>
      <w:r>
        <w:rPr>
          <w:sz w:val="20"/>
        </w:rPr>
        <w:t>Bir üye devlet içerisinde kiliseler ve dini cemiyetler ya da toplulukların, bu Tüzük’ün yürürlüğe</w:t>
      </w:r>
      <w:r>
        <w:rPr>
          <w:spacing w:val="-35"/>
          <w:sz w:val="20"/>
        </w:rPr>
        <w:t> </w:t>
      </w:r>
      <w:r>
        <w:rPr>
          <w:sz w:val="20"/>
        </w:rPr>
        <w:t>giriş</w:t>
      </w:r>
    </w:p>
    <w:p>
      <w:pPr>
        <w:spacing w:after="0" w:line="240" w:lineRule="auto"/>
        <w:jc w:val="both"/>
        <w:rPr>
          <w:sz w:val="20"/>
        </w:rPr>
        <w:sectPr>
          <w:pgSz w:w="11930" w:h="16850"/>
          <w:pgMar w:header="961" w:footer="0" w:top="1240" w:bottom="28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BodyText"/>
        <w:spacing w:line="276" w:lineRule="auto" w:before="66"/>
        <w:ind w:left="726" w:right="693"/>
        <w:jc w:val="both"/>
      </w:pPr>
      <w:r>
        <w:rPr/>
        <w:t>tarihinde, gerçek kişilerin işleme faaliyeti ile ilgili olarak korunmasına ilişkin kapsamlı kurallar uyguladığı hallerde, söz konusu kuralların bu Tüzük’e uygun hale getirilmesi koşuluyla, ilgili kurallar uygulanmaya devam edebilir.</w:t>
      </w:r>
    </w:p>
    <w:p>
      <w:pPr>
        <w:pStyle w:val="BodyText"/>
        <w:rPr>
          <w:sz w:val="22"/>
        </w:rPr>
      </w:pPr>
    </w:p>
    <w:p>
      <w:pPr>
        <w:pStyle w:val="BodyText"/>
        <w:spacing w:before="8"/>
        <w:rPr>
          <w:sz w:val="24"/>
        </w:rPr>
      </w:pPr>
    </w:p>
    <w:p>
      <w:pPr>
        <w:pStyle w:val="ListParagraph"/>
        <w:numPr>
          <w:ilvl w:val="0"/>
          <w:numId w:val="147"/>
        </w:numPr>
        <w:tabs>
          <w:tab w:pos="1008" w:val="left" w:leader="none"/>
        </w:tabs>
        <w:spacing w:line="276" w:lineRule="auto" w:before="0" w:after="0"/>
        <w:ind w:left="726" w:right="691" w:firstLine="0"/>
        <w:jc w:val="both"/>
        <w:rPr>
          <w:sz w:val="20"/>
        </w:rPr>
      </w:pPr>
      <w:r>
        <w:rPr>
          <w:sz w:val="20"/>
        </w:rPr>
        <w:t>Bu maddenin 1. paragrafı uyarınca kapsamlı kurallar uygulayan kiliseler ve dini cemiyetler, bu Tüzük’ün Bölüm VI’sında ortaya konan şartları yerine getirmesi koşuluyla, spesifik olabilecek bağımsız bir denetim makamının denetimine</w:t>
      </w:r>
      <w:r>
        <w:rPr>
          <w:spacing w:val="-3"/>
          <w:sz w:val="20"/>
        </w:rPr>
        <w:t> </w:t>
      </w:r>
      <w:r>
        <w:rPr>
          <w:sz w:val="20"/>
        </w:rPr>
        <w:t>tabidir.</w:t>
      </w:r>
    </w:p>
    <w:p>
      <w:pPr>
        <w:pStyle w:val="BodyText"/>
        <w:rPr>
          <w:sz w:val="23"/>
        </w:rPr>
      </w:pPr>
    </w:p>
    <w:p>
      <w:pPr>
        <w:pStyle w:val="BodyText"/>
        <w:ind w:left="2207" w:right="2224"/>
        <w:jc w:val="center"/>
      </w:pPr>
      <w:r>
        <w:rPr/>
        <w:t>BÖLÜM X</w:t>
      </w:r>
    </w:p>
    <w:p>
      <w:pPr>
        <w:pStyle w:val="BodyText"/>
        <w:spacing w:before="2"/>
        <w:rPr>
          <w:sz w:val="27"/>
        </w:rPr>
      </w:pPr>
    </w:p>
    <w:p>
      <w:pPr>
        <w:pStyle w:val="Heading1"/>
        <w:spacing w:line="276" w:lineRule="auto"/>
        <w:ind w:left="4028" w:right="4046"/>
      </w:pPr>
      <w:r>
        <w:rPr/>
        <w:t>Yetki devrine dayanan tasarruflar ve uygulama tasarrufları</w:t>
      </w:r>
    </w:p>
    <w:p>
      <w:pPr>
        <w:pStyle w:val="BodyText"/>
        <w:rPr>
          <w:b/>
          <w:sz w:val="22"/>
        </w:rPr>
      </w:pPr>
    </w:p>
    <w:p>
      <w:pPr>
        <w:pStyle w:val="BodyText"/>
        <w:spacing w:before="3"/>
        <w:rPr>
          <w:b/>
          <w:sz w:val="24"/>
        </w:rPr>
      </w:pPr>
    </w:p>
    <w:p>
      <w:pPr>
        <w:pStyle w:val="BodyText"/>
        <w:spacing w:line="278" w:lineRule="auto"/>
        <w:ind w:left="5035" w:right="5053"/>
        <w:jc w:val="center"/>
      </w:pPr>
      <w:r>
        <w:rPr/>
        <w:t>Madde 92</w:t>
      </w:r>
    </w:p>
    <w:p>
      <w:pPr>
        <w:pStyle w:val="BodyText"/>
        <w:rPr>
          <w:sz w:val="22"/>
        </w:rPr>
      </w:pPr>
    </w:p>
    <w:p>
      <w:pPr>
        <w:pStyle w:val="BodyText"/>
        <w:spacing w:before="8"/>
        <w:rPr>
          <w:sz w:val="23"/>
        </w:rPr>
      </w:pPr>
    </w:p>
    <w:p>
      <w:pPr>
        <w:pStyle w:val="Heading1"/>
        <w:spacing w:line="276" w:lineRule="auto"/>
        <w:ind w:left="4669" w:right="4689"/>
      </w:pPr>
      <w:r>
        <w:rPr/>
        <w:t>Yetki devrinin uygulaması</w:t>
      </w:r>
    </w:p>
    <w:p>
      <w:pPr>
        <w:pStyle w:val="BodyText"/>
        <w:spacing w:before="5"/>
        <w:rPr>
          <w:b/>
          <w:sz w:val="23"/>
        </w:rPr>
      </w:pPr>
    </w:p>
    <w:p>
      <w:pPr>
        <w:pStyle w:val="ListParagraph"/>
        <w:numPr>
          <w:ilvl w:val="0"/>
          <w:numId w:val="148"/>
        </w:numPr>
        <w:tabs>
          <w:tab w:pos="999" w:val="left" w:leader="none"/>
        </w:tabs>
        <w:spacing w:line="276" w:lineRule="auto" w:before="1" w:after="0"/>
        <w:ind w:left="726" w:right="695" w:firstLine="0"/>
        <w:jc w:val="both"/>
        <w:rPr>
          <w:sz w:val="20"/>
        </w:rPr>
      </w:pPr>
      <w:r>
        <w:rPr>
          <w:sz w:val="20"/>
        </w:rPr>
        <w:t>Yetki devrine dayanan tasarrufları kabul etme yetkisi bu maddede belirtilen koşullara tabi olarak Komisyon’a verilir.</w:t>
      </w:r>
    </w:p>
    <w:p>
      <w:pPr>
        <w:pStyle w:val="BodyText"/>
        <w:spacing w:before="3"/>
        <w:rPr>
          <w:sz w:val="27"/>
        </w:rPr>
      </w:pPr>
    </w:p>
    <w:p>
      <w:pPr>
        <w:pStyle w:val="ListParagraph"/>
        <w:numPr>
          <w:ilvl w:val="0"/>
          <w:numId w:val="148"/>
        </w:numPr>
        <w:tabs>
          <w:tab w:pos="1140" w:val="left" w:leader="none"/>
        </w:tabs>
        <w:spacing w:line="276" w:lineRule="auto" w:before="0" w:after="0"/>
        <w:ind w:left="726" w:right="699" w:firstLine="0"/>
        <w:jc w:val="both"/>
        <w:rPr>
          <w:sz w:val="20"/>
        </w:rPr>
      </w:pPr>
      <w:r>
        <w:rPr>
          <w:sz w:val="20"/>
        </w:rPr>
        <w:t>12(8) maddesi ve 43(8) maddesinde atıfta bulunulan yetki devri 24 Mayıs 2016 tarihinden itibaren belirsiz bir süre boyunca Komisyon’a</w:t>
      </w:r>
      <w:r>
        <w:rPr>
          <w:spacing w:val="-2"/>
          <w:sz w:val="20"/>
        </w:rPr>
        <w:t> </w:t>
      </w:r>
      <w:r>
        <w:rPr>
          <w:sz w:val="20"/>
        </w:rPr>
        <w:t>verilir.</w:t>
      </w:r>
    </w:p>
    <w:p>
      <w:pPr>
        <w:pStyle w:val="BodyText"/>
        <w:rPr>
          <w:sz w:val="22"/>
        </w:rPr>
      </w:pPr>
    </w:p>
    <w:p>
      <w:pPr>
        <w:pStyle w:val="BodyText"/>
        <w:spacing w:before="5"/>
        <w:rPr>
          <w:sz w:val="24"/>
        </w:rPr>
      </w:pPr>
    </w:p>
    <w:p>
      <w:pPr>
        <w:pStyle w:val="ListParagraph"/>
        <w:numPr>
          <w:ilvl w:val="0"/>
          <w:numId w:val="148"/>
        </w:numPr>
        <w:tabs>
          <w:tab w:pos="970" w:val="left" w:leader="none"/>
        </w:tabs>
        <w:spacing w:line="276" w:lineRule="auto" w:before="0" w:after="0"/>
        <w:ind w:left="726" w:right="693" w:firstLine="0"/>
        <w:jc w:val="both"/>
        <w:rPr>
          <w:sz w:val="20"/>
        </w:rPr>
      </w:pPr>
      <w:r>
        <w:rPr>
          <w:sz w:val="20"/>
        </w:rPr>
        <w:t>12(8) maddesi ve 43(8) maddesinde atıfta bulunulan yetki devri Avrupa Parlamentosu veya Konsey tarafından herhangi bir zamanda kaldırılabilir. Bir kaldırma kararı söz konusu kararda belirtilen yetki devrini sona erdirir. Bu karar </w:t>
      </w:r>
      <w:r>
        <w:rPr>
          <w:i/>
          <w:sz w:val="20"/>
        </w:rPr>
        <w:t>Avrupa Birliği Resmi Gazetesi’nde </w:t>
      </w:r>
      <w:r>
        <w:rPr>
          <w:sz w:val="20"/>
        </w:rPr>
        <w:t>yayımlanmasından sonraki gün veya kararda belirtilen sonraki bir tarihte yürürlüğe girer. Karar halihazırda yürürlükte bulunan yetki devrine dayanan tasarrufların geçerliliğini</w:t>
      </w:r>
      <w:r>
        <w:rPr>
          <w:spacing w:val="-5"/>
          <w:sz w:val="20"/>
        </w:rPr>
        <w:t> </w:t>
      </w:r>
      <w:r>
        <w:rPr>
          <w:sz w:val="20"/>
        </w:rPr>
        <w:t>etkilemez.</w:t>
      </w:r>
    </w:p>
    <w:p>
      <w:pPr>
        <w:pStyle w:val="BodyText"/>
        <w:rPr>
          <w:sz w:val="22"/>
        </w:rPr>
      </w:pPr>
    </w:p>
    <w:p>
      <w:pPr>
        <w:pStyle w:val="BodyText"/>
        <w:spacing w:before="4"/>
        <w:rPr>
          <w:sz w:val="24"/>
        </w:rPr>
      </w:pPr>
    </w:p>
    <w:p>
      <w:pPr>
        <w:pStyle w:val="ListParagraph"/>
        <w:numPr>
          <w:ilvl w:val="0"/>
          <w:numId w:val="148"/>
        </w:numPr>
        <w:tabs>
          <w:tab w:pos="987" w:val="left" w:leader="none"/>
        </w:tabs>
        <w:spacing w:line="278" w:lineRule="auto" w:before="1" w:after="0"/>
        <w:ind w:left="726" w:right="702" w:firstLine="0"/>
        <w:jc w:val="both"/>
        <w:rPr>
          <w:sz w:val="20"/>
        </w:rPr>
      </w:pPr>
      <w:r>
        <w:rPr>
          <w:sz w:val="20"/>
        </w:rPr>
        <w:t>Komisyon, yetki devrine dayanan bir tasarrufu kabul eder etmez, bunu eş zamanlı olarak Avrupa Parlamentosu ve Konsey’e</w:t>
      </w:r>
      <w:r>
        <w:rPr>
          <w:spacing w:val="1"/>
          <w:sz w:val="20"/>
        </w:rPr>
        <w:t> </w:t>
      </w:r>
      <w:r>
        <w:rPr>
          <w:sz w:val="20"/>
        </w:rPr>
        <w:t>iletir.</w:t>
      </w:r>
    </w:p>
    <w:p>
      <w:pPr>
        <w:pStyle w:val="BodyText"/>
        <w:rPr>
          <w:sz w:val="22"/>
        </w:rPr>
      </w:pPr>
    </w:p>
    <w:p>
      <w:pPr>
        <w:pStyle w:val="BodyText"/>
        <w:rPr>
          <w:sz w:val="24"/>
        </w:rPr>
      </w:pPr>
    </w:p>
    <w:p>
      <w:pPr>
        <w:pStyle w:val="ListParagraph"/>
        <w:numPr>
          <w:ilvl w:val="0"/>
          <w:numId w:val="148"/>
        </w:numPr>
        <w:tabs>
          <w:tab w:pos="1140" w:val="left" w:leader="none"/>
        </w:tabs>
        <w:spacing w:line="276" w:lineRule="auto" w:before="0" w:after="0"/>
        <w:ind w:left="726" w:right="689" w:firstLine="0"/>
        <w:jc w:val="both"/>
        <w:rPr>
          <w:sz w:val="20"/>
        </w:rPr>
      </w:pPr>
      <w:r>
        <w:rPr>
          <w:sz w:val="20"/>
        </w:rPr>
        <w:t>12(8) maddesi ve 43(8) maddesi uyarınca kabul edilen yetki devrine dayanan bir tasarruf, ancak söz konusu tasarrufun Avrupa Parlamentosu ve Konsey’e iletilmesinden itibaren üç aylık bir süre içerisinde Avrupa Parlamentosu ya da Konsey tarafından herhangi bir itirazda bulunulmaması durumunda ya da, söz konusu sürenin dolmasından önce, hem Avrupa Parlamentosu hem de Konsey’in itirazda bulunmayacağını Komisyon’a bildirmesi halinde, yürürlüğe girer. Bu süre Avrupa Parlamentosu veya Konsey’in inisiyatifiyle üç ay</w:t>
      </w:r>
      <w:r>
        <w:rPr>
          <w:spacing w:val="-1"/>
          <w:sz w:val="20"/>
        </w:rPr>
        <w:t> </w:t>
      </w:r>
      <w:r>
        <w:rPr>
          <w:sz w:val="20"/>
        </w:rPr>
        <w:t>uzatılır.</w:t>
      </w:r>
    </w:p>
    <w:p>
      <w:pPr>
        <w:pStyle w:val="BodyText"/>
        <w:rPr>
          <w:sz w:val="22"/>
        </w:rPr>
      </w:pPr>
    </w:p>
    <w:p>
      <w:pPr>
        <w:pStyle w:val="BodyText"/>
        <w:rPr>
          <w:sz w:val="22"/>
        </w:rPr>
      </w:pPr>
    </w:p>
    <w:p>
      <w:pPr>
        <w:pStyle w:val="BodyText"/>
        <w:spacing w:before="6"/>
        <w:rPr>
          <w:sz w:val="25"/>
        </w:rPr>
      </w:pPr>
    </w:p>
    <w:p>
      <w:pPr>
        <w:pStyle w:val="BodyText"/>
        <w:spacing w:line="276" w:lineRule="auto"/>
        <w:ind w:left="5035" w:right="5053"/>
        <w:jc w:val="center"/>
      </w:pPr>
      <w:r>
        <w:rPr/>
        <w:t>Madde 93</w:t>
      </w:r>
    </w:p>
    <w:p>
      <w:pPr>
        <w:pStyle w:val="BodyText"/>
        <w:rPr>
          <w:sz w:val="22"/>
        </w:rPr>
      </w:pPr>
    </w:p>
    <w:p>
      <w:pPr>
        <w:pStyle w:val="BodyText"/>
        <w:spacing w:before="5"/>
        <w:rPr>
          <w:sz w:val="24"/>
        </w:rPr>
      </w:pPr>
    </w:p>
    <w:p>
      <w:pPr>
        <w:pStyle w:val="Heading1"/>
        <w:ind w:left="2205"/>
      </w:pPr>
      <w:r>
        <w:rPr/>
        <w:t>Komite usulü</w:t>
      </w:r>
    </w:p>
    <w:p>
      <w:pPr>
        <w:pStyle w:val="BodyText"/>
        <w:rPr>
          <w:b/>
          <w:sz w:val="27"/>
        </w:rPr>
      </w:pPr>
    </w:p>
    <w:p>
      <w:pPr>
        <w:pStyle w:val="ListParagraph"/>
        <w:numPr>
          <w:ilvl w:val="0"/>
          <w:numId w:val="149"/>
        </w:numPr>
        <w:tabs>
          <w:tab w:pos="1006" w:val="left" w:leader="none"/>
        </w:tabs>
        <w:spacing w:line="240" w:lineRule="auto" w:before="0" w:after="0"/>
        <w:ind w:left="726" w:right="0" w:firstLine="0"/>
        <w:jc w:val="both"/>
        <w:rPr>
          <w:sz w:val="20"/>
        </w:rPr>
      </w:pPr>
      <w:r>
        <w:rPr>
          <w:sz w:val="20"/>
        </w:rPr>
        <w:t>Komisyona bir komite tarafından destek olunur. Söz konusu komite, AB 182/2011 sayılı</w:t>
      </w:r>
      <w:r>
        <w:rPr>
          <w:spacing w:val="42"/>
          <w:sz w:val="20"/>
        </w:rPr>
        <w:t> </w:t>
      </w:r>
      <w:r>
        <w:rPr>
          <w:sz w:val="20"/>
        </w:rPr>
        <w:t>Tüzük</w:t>
      </w:r>
    </w:p>
    <w:p>
      <w:pPr>
        <w:spacing w:after="0" w:line="240" w:lineRule="auto"/>
        <w:jc w:val="both"/>
        <w:rPr>
          <w:sz w:val="20"/>
        </w:rPr>
        <w:sectPr>
          <w:pgSz w:w="11930" w:h="16850"/>
          <w:pgMar w:header="961" w:footer="0" w:top="1240" w:bottom="0" w:left="620" w:right="600"/>
        </w:sectPr>
      </w:pPr>
    </w:p>
    <w:p>
      <w:pPr>
        <w:pStyle w:val="BodyText"/>
        <w:tabs>
          <w:tab w:pos="726" w:val="left" w:leader="none"/>
        </w:tabs>
        <w:spacing w:before="23"/>
        <w:ind w:left="210"/>
      </w:pPr>
      <w:r>
        <w:rPr/>
        <w:pict>
          <v:group style="position:absolute;margin-left:111.89492pt;margin-top:5.961365pt;width:25.7pt;height:9.75pt;mso-position-horizontal-relative:page;mso-position-vertical-relative:paragraph;z-index:-76744" coordorigin="2238,119" coordsize="514,195">
            <v:line style="position:absolute" from="2244,129" to="2244,310" stroked="true" strokeweight=".61016pt" strokecolor="#000000">
              <v:stroke dashstyle="solid"/>
            </v:line>
            <v:line style="position:absolute" from="2239,307" to="2750,307" stroked="true" strokeweight=".61024pt" strokecolor="#000000">
              <v:stroke dashstyle="solid"/>
            </v:line>
            <v:shape style="position:absolute;left:2239;top:125;width:511;height:185" coordorigin="2239,125" coordsize="511,185" path="m2239,125l2750,125m2745,129l2745,310e" filled="false" stroked="true" strokeweight=".61016pt" strokecolor="#000000">
              <v:path arrowok="t"/>
              <v:stroke dashstyle="solid"/>
            </v:shape>
            <w10:wrap type="none"/>
          </v:group>
        </w:pict>
      </w:r>
      <w:r>
        <w:rPr/>
        <w:pict>
          <v:line style="position:absolute;mso-position-horizontal-relative:page;mso-position-vertical-relative:paragraph;z-index:2800" from="41.549999pt,19.616446pt" to="553.299999pt,19.616446pt" stroked="true" strokeweight=".61024pt" strokecolor="#000000">
            <v:stroke dashstyle="solid"/>
            <w10:wrap type="none"/>
          </v:line>
        </w:pict>
      </w:r>
      <w:r>
        <w:rPr>
          <w:rFonts w:ascii="メイリオ" w:hAnsi="メイリオ"/>
          <w:w w:val="99"/>
          <w:position w:val="9"/>
          <w:sz w:val="19"/>
        </w:rPr>
        <w:t>L</w:t>
      </w:r>
      <w:r>
        <w:rPr>
          <w:rFonts w:ascii="メイリオ" w:hAnsi="メイリオ"/>
          <w:position w:val="9"/>
          <w:sz w:val="19"/>
        </w:rPr>
        <w:tab/>
      </w:r>
      <w:r>
        <w:rPr>
          <w:spacing w:val="2"/>
          <w:w w:val="99"/>
        </w:rPr>
        <w:t>k</w:t>
      </w:r>
      <w:r>
        <w:rPr>
          <w:spacing w:val="-1"/>
          <w:w w:val="99"/>
        </w:rPr>
        <w:t>ap</w:t>
      </w:r>
      <w:r>
        <w:rPr>
          <w:w w:val="99"/>
        </w:rPr>
        <w:t>s</w:t>
      </w:r>
      <w:r>
        <w:rPr>
          <w:spacing w:val="-3"/>
          <w:w w:val="99"/>
        </w:rPr>
        <w:t>a</w:t>
      </w:r>
      <w:r>
        <w:rPr>
          <w:spacing w:val="3"/>
          <w:w w:val="99"/>
        </w:rPr>
        <w:t>m</w:t>
      </w:r>
      <w:r>
        <w:rPr>
          <w:w w:val="99"/>
        </w:rPr>
        <w:t>ın</w:t>
      </w:r>
      <w:r>
        <w:rPr>
          <w:spacing w:val="-1"/>
          <w:w w:val="99"/>
        </w:rPr>
        <w:t>d</w:t>
      </w:r>
      <w:r>
        <w:rPr>
          <w:spacing w:val="-41"/>
          <w:w w:val="99"/>
        </w:rPr>
        <w:t>a</w:t>
      </w:r>
      <w:r>
        <w:rPr>
          <w:rFonts w:ascii="メイリオ" w:hAnsi="メイリオ"/>
          <w:spacing w:val="-10"/>
          <w:w w:val="100"/>
          <w:position w:val="9"/>
          <w:sz w:val="17"/>
        </w:rPr>
        <w:t>E</w:t>
      </w:r>
      <w:r>
        <w:rPr>
          <w:spacing w:val="-102"/>
          <w:w w:val="99"/>
        </w:rPr>
        <w:t>b</w:t>
      </w:r>
      <w:r>
        <w:rPr>
          <w:rFonts w:ascii="メイリオ" w:hAnsi="メイリオ"/>
          <w:spacing w:val="-26"/>
          <w:w w:val="100"/>
          <w:position w:val="9"/>
          <w:sz w:val="17"/>
        </w:rPr>
        <w:t>N</w:t>
      </w:r>
      <w:r>
        <w:rPr>
          <w:spacing w:val="-2"/>
          <w:w w:val="99"/>
        </w:rPr>
        <w:t>i</w:t>
      </w:r>
      <w:r>
        <w:rPr>
          <w:w w:val="99"/>
        </w:rPr>
        <w:t>r</w:t>
      </w:r>
      <w:r>
        <w:rPr/>
        <w:t> </w:t>
      </w:r>
      <w:r>
        <w:rPr>
          <w:spacing w:val="2"/>
          <w:w w:val="99"/>
        </w:rPr>
        <w:t>k</w:t>
      </w:r>
      <w:r>
        <w:rPr>
          <w:spacing w:val="-3"/>
          <w:w w:val="99"/>
        </w:rPr>
        <w:t>o</w:t>
      </w:r>
      <w:r>
        <w:rPr>
          <w:spacing w:val="3"/>
          <w:w w:val="99"/>
        </w:rPr>
        <w:t>m</w:t>
      </w:r>
      <w:r>
        <w:rPr>
          <w:spacing w:val="-2"/>
          <w:w w:val="99"/>
        </w:rPr>
        <w:t>i</w:t>
      </w:r>
      <w:r>
        <w:rPr>
          <w:w w:val="99"/>
        </w:rPr>
        <w:t>te</w:t>
      </w:r>
      <w:r>
        <w:rPr>
          <w:spacing w:val="-1"/>
          <w:w w:val="99"/>
        </w:rPr>
        <w:t>d</w:t>
      </w:r>
      <w:r>
        <w:rPr>
          <w:spacing w:val="-2"/>
          <w:w w:val="99"/>
        </w:rPr>
        <w:t>i</w:t>
      </w:r>
      <w:r>
        <w:rPr>
          <w:w w:val="99"/>
        </w:rPr>
        <w:t>r.</w:t>
      </w:r>
    </w:p>
    <w:p>
      <w:pPr>
        <w:tabs>
          <w:tab w:pos="6838" w:val="right" w:leader="none"/>
        </w:tabs>
        <w:spacing w:before="19"/>
        <w:ind w:left="210" w:right="0" w:firstLine="0"/>
        <w:jc w:val="left"/>
        <w:rPr>
          <w:rFonts w:ascii="メイリオ" w:hAnsi="メイリオ"/>
          <w:sz w:val="19"/>
        </w:rPr>
      </w:pPr>
      <w:r>
        <w:rPr/>
        <w:br w:type="column"/>
      </w:r>
      <w:r>
        <w:rPr>
          <w:rFonts w:ascii="メイリオ" w:hAnsi="メイリオ"/>
          <w:sz w:val="19"/>
        </w:rPr>
        <w:t>Avrupa Birli</w:t>
      </w:r>
      <w:r>
        <w:rPr>
          <w:rFonts w:ascii="Times New Roman" w:hAnsi="Times New Roman"/>
          <w:sz w:val="19"/>
        </w:rPr>
        <w:t>ğ</w:t>
      </w:r>
      <w:r>
        <w:rPr>
          <w:rFonts w:ascii="メイリオ" w:hAnsi="メイリオ"/>
          <w:sz w:val="19"/>
        </w:rPr>
        <w:t>i</w:t>
      </w:r>
      <w:r>
        <w:rPr>
          <w:rFonts w:ascii="メイリオ" w:hAnsi="メイリオ"/>
          <w:spacing w:val="-2"/>
          <w:sz w:val="19"/>
        </w:rPr>
        <w:t> </w:t>
      </w:r>
      <w:r>
        <w:rPr>
          <w:rFonts w:ascii="メイリオ" w:hAnsi="メイリオ"/>
          <w:sz w:val="19"/>
        </w:rPr>
        <w:t>Resmi</w:t>
      </w:r>
      <w:r>
        <w:rPr>
          <w:rFonts w:ascii="メイリオ" w:hAnsi="メイリオ"/>
          <w:spacing w:val="-2"/>
          <w:sz w:val="19"/>
        </w:rPr>
        <w:t> </w:t>
      </w:r>
      <w:r>
        <w:rPr>
          <w:rFonts w:ascii="メイリオ" w:hAnsi="メイリオ"/>
          <w:sz w:val="19"/>
        </w:rPr>
        <w:t>Gazetesi</w:t>
        <w:tab/>
        <w:t>4.5.201</w:t>
      </w:r>
    </w:p>
    <w:p>
      <w:pPr>
        <w:spacing w:after="0"/>
        <w:jc w:val="left"/>
        <w:rPr>
          <w:rFonts w:ascii="メイリオ" w:hAnsi="メイリオ"/>
          <w:sz w:val="19"/>
        </w:rPr>
        <w:sectPr>
          <w:headerReference w:type="even" r:id="rId9"/>
          <w:pgSz w:w="11930" w:h="16850"/>
          <w:pgMar w:header="0" w:footer="0" w:top="880" w:bottom="280" w:left="620" w:right="600"/>
          <w:cols w:num="2" w:equalWidth="0">
            <w:col w:w="3053" w:space="584"/>
            <w:col w:w="7073"/>
          </w:cols>
        </w:sectPr>
      </w:pPr>
    </w:p>
    <w:p>
      <w:pPr>
        <w:pStyle w:val="BodyText"/>
        <w:spacing w:before="7"/>
        <w:rPr>
          <w:rFonts w:ascii="メイリオ"/>
          <w:sz w:val="16"/>
        </w:rPr>
      </w:pPr>
    </w:p>
    <w:p>
      <w:pPr>
        <w:pStyle w:val="ListParagraph"/>
        <w:numPr>
          <w:ilvl w:val="0"/>
          <w:numId w:val="149"/>
        </w:numPr>
        <w:tabs>
          <w:tab w:pos="948" w:val="left" w:leader="none"/>
        </w:tabs>
        <w:spacing w:line="240" w:lineRule="auto" w:before="0" w:after="0"/>
        <w:ind w:left="947" w:right="0" w:hanging="221"/>
        <w:jc w:val="left"/>
        <w:rPr>
          <w:sz w:val="20"/>
        </w:rPr>
      </w:pPr>
      <w:r>
        <w:rPr>
          <w:sz w:val="20"/>
        </w:rPr>
        <w:t>Bu paragrafa atıfta bulunulan hallerde, AB 182/2011 sayılı Tüzük’ün 5. maddesi</w:t>
      </w:r>
      <w:r>
        <w:rPr>
          <w:spacing w:val="-18"/>
          <w:sz w:val="20"/>
        </w:rPr>
        <w:t> </w:t>
      </w:r>
      <w:r>
        <w:rPr>
          <w:sz w:val="20"/>
        </w:rPr>
        <w:t>uygulanır.</w:t>
      </w:r>
    </w:p>
    <w:p>
      <w:pPr>
        <w:pStyle w:val="BodyText"/>
        <w:spacing w:before="9"/>
        <w:rPr>
          <w:sz w:val="26"/>
        </w:rPr>
      </w:pPr>
    </w:p>
    <w:p>
      <w:pPr>
        <w:pStyle w:val="ListParagraph"/>
        <w:numPr>
          <w:ilvl w:val="0"/>
          <w:numId w:val="149"/>
        </w:numPr>
        <w:tabs>
          <w:tab w:pos="984" w:val="left" w:leader="none"/>
        </w:tabs>
        <w:spacing w:line="276" w:lineRule="auto" w:before="0" w:after="0"/>
        <w:ind w:left="726" w:right="697" w:firstLine="0"/>
        <w:jc w:val="both"/>
        <w:rPr>
          <w:sz w:val="20"/>
        </w:rPr>
      </w:pPr>
      <w:r>
        <w:rPr>
          <w:sz w:val="20"/>
        </w:rPr>
        <w:t>Bu paragrafa atıfta bulunulan hallerde, AB 182/2011 sayılı Tüzük’ün 8. maddesi, ilgili Tüzük’ün 5. maddesi ile bağlantılı olarak,</w:t>
      </w:r>
      <w:r>
        <w:rPr>
          <w:spacing w:val="-6"/>
          <w:sz w:val="20"/>
        </w:rPr>
        <w:t> </w:t>
      </w:r>
      <w:r>
        <w:rPr>
          <w:sz w:val="20"/>
        </w:rPr>
        <w:t>uygulanır.</w:t>
      </w:r>
    </w:p>
    <w:p>
      <w:pPr>
        <w:pStyle w:val="BodyText"/>
        <w:rPr>
          <w:sz w:val="22"/>
        </w:rPr>
      </w:pPr>
    </w:p>
    <w:p>
      <w:pPr>
        <w:pStyle w:val="BodyText"/>
        <w:rPr>
          <w:sz w:val="22"/>
        </w:rPr>
      </w:pPr>
    </w:p>
    <w:p>
      <w:pPr>
        <w:pStyle w:val="BodyText"/>
        <w:spacing w:before="7"/>
        <w:rPr>
          <w:sz w:val="25"/>
        </w:rPr>
      </w:pPr>
    </w:p>
    <w:p>
      <w:pPr>
        <w:pStyle w:val="BodyText"/>
        <w:ind w:left="2207" w:right="2225"/>
        <w:jc w:val="center"/>
      </w:pPr>
      <w:r>
        <w:rPr/>
        <w:t>BÖLÜM XI</w:t>
      </w:r>
    </w:p>
    <w:p>
      <w:pPr>
        <w:pStyle w:val="BodyText"/>
        <w:spacing w:before="2"/>
        <w:rPr>
          <w:sz w:val="27"/>
        </w:rPr>
      </w:pPr>
    </w:p>
    <w:p>
      <w:pPr>
        <w:pStyle w:val="Heading1"/>
        <w:spacing w:line="276" w:lineRule="auto"/>
        <w:ind w:left="4891" w:right="4908" w:firstLine="2"/>
      </w:pPr>
      <w:r>
        <w:rPr/>
        <w:t>Nihai </w:t>
      </w:r>
      <w:r>
        <w:rPr>
          <w:w w:val="95"/>
        </w:rPr>
        <w:t>hükümler</w:t>
      </w:r>
    </w:p>
    <w:p>
      <w:pPr>
        <w:pStyle w:val="BodyText"/>
        <w:rPr>
          <w:b/>
          <w:sz w:val="22"/>
        </w:rPr>
      </w:pPr>
    </w:p>
    <w:p>
      <w:pPr>
        <w:pStyle w:val="BodyText"/>
        <w:spacing w:before="8"/>
        <w:rPr>
          <w:b/>
          <w:sz w:val="24"/>
        </w:rPr>
      </w:pPr>
    </w:p>
    <w:p>
      <w:pPr>
        <w:pStyle w:val="BodyText"/>
        <w:spacing w:line="278" w:lineRule="auto"/>
        <w:ind w:left="5035" w:right="5053"/>
        <w:jc w:val="center"/>
      </w:pPr>
      <w:r>
        <w:rPr/>
        <w:t>Madde 94</w:t>
      </w:r>
    </w:p>
    <w:p>
      <w:pPr>
        <w:pStyle w:val="BodyText"/>
        <w:rPr>
          <w:sz w:val="22"/>
        </w:rPr>
      </w:pPr>
    </w:p>
    <w:p>
      <w:pPr>
        <w:pStyle w:val="BodyText"/>
        <w:spacing w:before="1"/>
        <w:rPr>
          <w:sz w:val="24"/>
        </w:rPr>
      </w:pPr>
    </w:p>
    <w:p>
      <w:pPr>
        <w:pStyle w:val="Heading1"/>
        <w:ind w:left="3153" w:right="0"/>
        <w:jc w:val="left"/>
      </w:pPr>
      <w:r>
        <w:rPr/>
        <w:t>95/46/AT sayılı Direktif’in yürürlükten kaldırılması</w:t>
      </w:r>
    </w:p>
    <w:p>
      <w:pPr>
        <w:pStyle w:val="BodyText"/>
        <w:spacing w:before="11"/>
        <w:rPr>
          <w:b/>
          <w:sz w:val="26"/>
        </w:rPr>
      </w:pPr>
    </w:p>
    <w:p>
      <w:pPr>
        <w:pStyle w:val="ListParagraph"/>
        <w:numPr>
          <w:ilvl w:val="0"/>
          <w:numId w:val="150"/>
        </w:numPr>
        <w:tabs>
          <w:tab w:pos="948" w:val="left" w:leader="none"/>
        </w:tabs>
        <w:spacing w:line="240" w:lineRule="auto" w:before="0" w:after="0"/>
        <w:ind w:left="726" w:right="0" w:firstLine="0"/>
        <w:jc w:val="left"/>
        <w:rPr>
          <w:sz w:val="20"/>
        </w:rPr>
      </w:pPr>
      <w:r>
        <w:rPr>
          <w:sz w:val="20"/>
        </w:rPr>
        <w:t>95/46/AT sayılı Direktif 25 Mayıs 2018 tarihinden itibaren geçerli olmak üzere yürürlükten</w:t>
      </w:r>
      <w:r>
        <w:rPr>
          <w:spacing w:val="-29"/>
          <w:sz w:val="20"/>
        </w:rPr>
        <w:t> </w:t>
      </w:r>
      <w:r>
        <w:rPr>
          <w:sz w:val="20"/>
        </w:rPr>
        <w:t>kaldırılmıştır.</w:t>
      </w:r>
    </w:p>
    <w:p>
      <w:pPr>
        <w:pStyle w:val="BodyText"/>
        <w:rPr>
          <w:sz w:val="22"/>
        </w:rPr>
      </w:pPr>
    </w:p>
    <w:p>
      <w:pPr>
        <w:pStyle w:val="BodyText"/>
        <w:spacing w:before="11"/>
        <w:rPr>
          <w:sz w:val="27"/>
        </w:rPr>
      </w:pPr>
    </w:p>
    <w:p>
      <w:pPr>
        <w:pStyle w:val="ListParagraph"/>
        <w:numPr>
          <w:ilvl w:val="0"/>
          <w:numId w:val="150"/>
        </w:numPr>
        <w:tabs>
          <w:tab w:pos="951" w:val="left" w:leader="none"/>
        </w:tabs>
        <w:spacing w:line="276" w:lineRule="auto" w:before="0" w:after="0"/>
        <w:ind w:left="726" w:right="689" w:firstLine="0"/>
        <w:jc w:val="both"/>
        <w:rPr>
          <w:sz w:val="20"/>
        </w:rPr>
      </w:pPr>
      <w:r>
        <w:rPr>
          <w:sz w:val="20"/>
        </w:rPr>
        <w:t>Yürürlükten kaldırılan Direktif’e yapılan atıflar bu Tüzük’e yapılmış sayılır. 95/46/AT sayılı Direktif’in 29. maddesi ile kurulan Kişisel Verilerin İşlenmesiyle ilgili olarak Bireylerin Korunması hakkında Çalışma Grubuna yapılan atıflar bu Tüzük’le kurulan Avrupa Veri Koruma Kurulu’na yapılmış</w:t>
      </w:r>
      <w:r>
        <w:rPr>
          <w:spacing w:val="-20"/>
          <w:sz w:val="20"/>
        </w:rPr>
        <w:t> </w:t>
      </w:r>
      <w:r>
        <w:rPr>
          <w:sz w:val="20"/>
        </w:rPr>
        <w:t>sayılır.</w:t>
      </w:r>
    </w:p>
    <w:p>
      <w:pPr>
        <w:pStyle w:val="BodyText"/>
        <w:rPr>
          <w:sz w:val="22"/>
        </w:rPr>
      </w:pPr>
    </w:p>
    <w:p>
      <w:pPr>
        <w:pStyle w:val="BodyText"/>
        <w:rPr>
          <w:sz w:val="24"/>
        </w:rPr>
      </w:pPr>
    </w:p>
    <w:p>
      <w:pPr>
        <w:pStyle w:val="BodyText"/>
        <w:spacing w:line="276" w:lineRule="auto"/>
        <w:ind w:left="5035" w:right="5053"/>
        <w:jc w:val="center"/>
      </w:pPr>
      <w:r>
        <w:rPr/>
        <w:t>Madde 95</w:t>
      </w:r>
    </w:p>
    <w:p>
      <w:pPr>
        <w:pStyle w:val="BodyText"/>
        <w:rPr>
          <w:sz w:val="22"/>
        </w:rPr>
      </w:pPr>
    </w:p>
    <w:p>
      <w:pPr>
        <w:pStyle w:val="BodyText"/>
        <w:spacing w:before="3"/>
        <w:rPr>
          <w:sz w:val="24"/>
        </w:rPr>
      </w:pPr>
    </w:p>
    <w:p>
      <w:pPr>
        <w:pStyle w:val="Heading1"/>
        <w:ind w:left="2203"/>
      </w:pPr>
      <w:r>
        <w:rPr/>
        <w:t>2002/58/AT sayılı Direktif’le ilişki</w:t>
      </w:r>
    </w:p>
    <w:p>
      <w:pPr>
        <w:pStyle w:val="BodyText"/>
        <w:rPr>
          <w:b/>
          <w:sz w:val="22"/>
        </w:rPr>
      </w:pPr>
    </w:p>
    <w:p>
      <w:pPr>
        <w:pStyle w:val="BodyText"/>
        <w:spacing w:before="6"/>
        <w:rPr>
          <w:b/>
          <w:sz w:val="27"/>
        </w:rPr>
      </w:pPr>
    </w:p>
    <w:p>
      <w:pPr>
        <w:pStyle w:val="BodyText"/>
        <w:spacing w:line="276" w:lineRule="auto"/>
        <w:ind w:left="726" w:right="698"/>
        <w:jc w:val="both"/>
      </w:pPr>
      <w:r>
        <w:rPr/>
        <w:t>Bu Tüzük, Birlik içerisinde kamu iletişim ağlarında halka açık elektronik iletişim hizmetlerinin sağlanması ile bağlantılı işleme faaliyeti hususunda, gerçek veya tüzel kişilere, 2002/58/AT sayılı Direktif’te belirtilen aynı hedefe özgü yükümlülüklere tabi bulundukları konular ile ilgili olarak, ek yükümlülükler getiremez.</w:t>
      </w:r>
    </w:p>
    <w:p>
      <w:pPr>
        <w:pStyle w:val="BodyText"/>
        <w:spacing w:before="9"/>
        <w:rPr>
          <w:sz w:val="25"/>
        </w:rPr>
      </w:pPr>
    </w:p>
    <w:p>
      <w:pPr>
        <w:pStyle w:val="BodyText"/>
        <w:spacing w:line="278" w:lineRule="auto"/>
        <w:ind w:left="5035" w:right="5053"/>
        <w:jc w:val="center"/>
      </w:pPr>
      <w:r>
        <w:rPr/>
        <w:t>Madde 96</w:t>
      </w:r>
    </w:p>
    <w:p>
      <w:pPr>
        <w:pStyle w:val="BodyText"/>
        <w:rPr>
          <w:sz w:val="22"/>
        </w:rPr>
      </w:pPr>
    </w:p>
    <w:p>
      <w:pPr>
        <w:pStyle w:val="BodyText"/>
        <w:spacing w:before="10"/>
        <w:rPr>
          <w:sz w:val="23"/>
        </w:rPr>
      </w:pPr>
    </w:p>
    <w:p>
      <w:pPr>
        <w:pStyle w:val="Heading1"/>
        <w:ind w:left="2206"/>
      </w:pPr>
      <w:r>
        <w:rPr/>
        <w:t>Önceden imzalanan anlaşmalarla ilişki</w:t>
      </w:r>
    </w:p>
    <w:p>
      <w:pPr>
        <w:pStyle w:val="BodyText"/>
        <w:rPr>
          <w:b/>
          <w:sz w:val="22"/>
        </w:rPr>
      </w:pPr>
    </w:p>
    <w:p>
      <w:pPr>
        <w:pStyle w:val="BodyText"/>
        <w:spacing w:before="1"/>
        <w:rPr>
          <w:b/>
          <w:sz w:val="28"/>
        </w:rPr>
      </w:pPr>
    </w:p>
    <w:p>
      <w:pPr>
        <w:pStyle w:val="BodyText"/>
        <w:spacing w:line="276" w:lineRule="auto"/>
        <w:ind w:left="726" w:right="697"/>
        <w:jc w:val="both"/>
      </w:pPr>
      <w:r>
        <w:rPr/>
        <w:t>Kişisel verilerin üçüncü ülkelere veya uluslararası kuruluşlara aktarılması hususunda üye devletler tarafından 24 Mayıs 2016 tarihinden önce imzalanan ve bu tarihten önce geçerli Birlik hukukuna uyumlu olan uluslararası anlaşmalar değiştirilene, yenilenene veya yürürlükten kaldırılana kadar yürürlükte kalır.</w:t>
      </w:r>
    </w:p>
    <w:p>
      <w:pPr>
        <w:pStyle w:val="BodyText"/>
        <w:spacing w:before="1"/>
        <w:rPr>
          <w:sz w:val="23"/>
        </w:rPr>
      </w:pPr>
    </w:p>
    <w:p>
      <w:pPr>
        <w:pStyle w:val="BodyText"/>
        <w:spacing w:line="276" w:lineRule="auto"/>
        <w:ind w:left="5035" w:right="5053"/>
        <w:jc w:val="center"/>
      </w:pPr>
      <w:r>
        <w:rPr/>
        <w:t>Madde 97</w:t>
      </w:r>
    </w:p>
    <w:p>
      <w:pPr>
        <w:pStyle w:val="BodyText"/>
        <w:rPr>
          <w:sz w:val="22"/>
        </w:rPr>
      </w:pPr>
    </w:p>
    <w:p>
      <w:pPr>
        <w:pStyle w:val="BodyText"/>
        <w:spacing w:before="1"/>
        <w:rPr>
          <w:sz w:val="24"/>
        </w:rPr>
      </w:pPr>
    </w:p>
    <w:p>
      <w:pPr>
        <w:pStyle w:val="Heading1"/>
        <w:spacing w:line="278" w:lineRule="auto"/>
        <w:ind w:left="4669" w:right="4689"/>
      </w:pPr>
      <w:r>
        <w:rPr>
          <w:w w:val="95"/>
        </w:rPr>
        <w:t>Komisyon </w:t>
      </w:r>
      <w:r>
        <w:rPr/>
        <w:t>raporları</w:t>
      </w:r>
    </w:p>
    <w:p>
      <w:pPr>
        <w:spacing w:after="0" w:line="278" w:lineRule="auto"/>
        <w:sectPr>
          <w:type w:val="continuous"/>
          <w:pgSz w:w="11930" w:h="16850"/>
          <w:pgMar w:top="1240" w:bottom="0" w:left="620" w:right="600"/>
        </w:sectPr>
      </w:pPr>
    </w:p>
    <w:p>
      <w:pPr>
        <w:pStyle w:val="BodyText"/>
        <w:spacing w:line="20" w:lineRule="exact"/>
        <w:ind w:left="204"/>
        <w:rPr>
          <w:sz w:val="2"/>
        </w:rPr>
      </w:pPr>
      <w:r>
        <w:rPr>
          <w:sz w:val="2"/>
        </w:rPr>
        <w:pict>
          <v:group style="width:511.75pt;height:.65pt;mso-position-horizontal-relative:char;mso-position-vertical-relative:line" coordorigin="0,0" coordsize="10235,13">
            <v:line style="position:absolute" from="0,6" to="10235,6" stroked="true" strokeweight=".61024pt" strokecolor="#000000">
              <v:stroke dashstyle="solid"/>
            </v:line>
          </v:group>
        </w:pict>
      </w:r>
      <w:r>
        <w:rPr>
          <w:sz w:val="2"/>
        </w:rPr>
      </w:r>
    </w:p>
    <w:p>
      <w:pPr>
        <w:pStyle w:val="ListParagraph"/>
        <w:numPr>
          <w:ilvl w:val="0"/>
          <w:numId w:val="151"/>
        </w:numPr>
        <w:tabs>
          <w:tab w:pos="1140" w:val="left" w:leader="none"/>
        </w:tabs>
        <w:spacing w:line="276" w:lineRule="auto" w:before="66" w:after="0"/>
        <w:ind w:left="726" w:right="697" w:firstLine="0"/>
        <w:jc w:val="both"/>
        <w:rPr>
          <w:sz w:val="20"/>
        </w:rPr>
      </w:pPr>
      <w:r>
        <w:rPr>
          <w:sz w:val="20"/>
        </w:rPr>
        <w:t>Komisyon bu Tüzük’ün değerlendirilmesi ve gözden geçirilmesine ilişkin bir raporu, 25 Mayıs 2020 tarihine kadar ve bu tarihten sonra dört yılda bir, Avrupa Parlamentosu ve Konsey’e sunar. Raporlar kamuoyuna</w:t>
      </w:r>
      <w:r>
        <w:rPr>
          <w:spacing w:val="-3"/>
          <w:sz w:val="20"/>
        </w:rPr>
        <w:t> </w:t>
      </w:r>
      <w:r>
        <w:rPr>
          <w:sz w:val="20"/>
        </w:rPr>
        <w:t>açıklanır.</w:t>
      </w:r>
    </w:p>
    <w:p>
      <w:pPr>
        <w:pStyle w:val="BodyText"/>
        <w:rPr>
          <w:sz w:val="22"/>
        </w:rPr>
      </w:pPr>
    </w:p>
    <w:p>
      <w:pPr>
        <w:pStyle w:val="BodyText"/>
        <w:spacing w:before="3"/>
        <w:rPr>
          <w:sz w:val="24"/>
        </w:rPr>
      </w:pPr>
    </w:p>
    <w:p>
      <w:pPr>
        <w:pStyle w:val="ListParagraph"/>
        <w:numPr>
          <w:ilvl w:val="0"/>
          <w:numId w:val="151"/>
        </w:numPr>
        <w:tabs>
          <w:tab w:pos="1140" w:val="left" w:leader="none"/>
        </w:tabs>
        <w:spacing w:line="276" w:lineRule="auto" w:before="0" w:after="0"/>
        <w:ind w:left="726" w:right="691" w:firstLine="0"/>
        <w:jc w:val="both"/>
        <w:rPr>
          <w:sz w:val="20"/>
        </w:rPr>
      </w:pPr>
      <w:r>
        <w:rPr>
          <w:sz w:val="20"/>
        </w:rPr>
        <w:t>1. paragrafta atıfta bulunulan değerlendirmeler ve gözden geçirmeler bağlamında, Komisyon özellikle aşağıdaki hususların uygulanması ve işleyişini</w:t>
      </w:r>
      <w:r>
        <w:rPr>
          <w:spacing w:val="-10"/>
          <w:sz w:val="20"/>
        </w:rPr>
        <w:t> </w:t>
      </w:r>
      <w:r>
        <w:rPr>
          <w:sz w:val="20"/>
        </w:rPr>
        <w:t>inceler:</w:t>
      </w:r>
    </w:p>
    <w:p>
      <w:pPr>
        <w:pStyle w:val="BodyText"/>
        <w:spacing w:before="10"/>
        <w:rPr>
          <w:sz w:val="23"/>
        </w:rPr>
      </w:pPr>
    </w:p>
    <w:p>
      <w:pPr>
        <w:pStyle w:val="ListParagraph"/>
        <w:numPr>
          <w:ilvl w:val="0"/>
          <w:numId w:val="152"/>
        </w:numPr>
        <w:tabs>
          <w:tab w:pos="1051" w:val="left" w:leader="none"/>
        </w:tabs>
        <w:spacing w:line="276" w:lineRule="auto" w:before="1" w:after="0"/>
        <w:ind w:left="1022" w:right="691" w:hanging="296"/>
        <w:jc w:val="both"/>
        <w:rPr>
          <w:sz w:val="20"/>
        </w:rPr>
      </w:pPr>
      <w:r>
        <w:rPr>
          <w:sz w:val="20"/>
        </w:rPr>
        <w:t>bu Tüzük’ün 45(3) maddesi uyarınca alınan kararlar ve 95/46/AT sayılı Direktif’in 25(6) maddesine dayalı olarak alınan kararlar başta olmak üzere, kişisel verilerin üçüncü ülkelere veya uluslararası kuruluşlara aktarılmasına ilişkin Bölüm</w:t>
      </w:r>
      <w:r>
        <w:rPr>
          <w:spacing w:val="-1"/>
          <w:sz w:val="20"/>
        </w:rPr>
        <w:t> </w:t>
      </w:r>
      <w:r>
        <w:rPr>
          <w:sz w:val="20"/>
        </w:rPr>
        <w:t>V;</w:t>
      </w:r>
    </w:p>
    <w:p>
      <w:pPr>
        <w:pStyle w:val="BodyText"/>
        <w:spacing w:before="5"/>
        <w:rPr>
          <w:sz w:val="23"/>
        </w:rPr>
      </w:pPr>
    </w:p>
    <w:p>
      <w:pPr>
        <w:pStyle w:val="ListParagraph"/>
        <w:numPr>
          <w:ilvl w:val="0"/>
          <w:numId w:val="152"/>
        </w:numPr>
        <w:tabs>
          <w:tab w:pos="1027" w:val="left" w:leader="none"/>
        </w:tabs>
        <w:spacing w:line="240" w:lineRule="auto" w:before="0" w:after="0"/>
        <w:ind w:left="1026" w:right="0" w:hanging="300"/>
        <w:jc w:val="both"/>
        <w:rPr>
          <w:sz w:val="20"/>
        </w:rPr>
      </w:pPr>
      <w:r>
        <w:rPr>
          <w:sz w:val="20"/>
        </w:rPr>
        <w:t>işbirliği ve tutarlılığa ilişkin Bölüm</w:t>
      </w:r>
      <w:r>
        <w:rPr>
          <w:spacing w:val="1"/>
          <w:sz w:val="20"/>
        </w:rPr>
        <w:t> </w:t>
      </w:r>
      <w:r>
        <w:rPr>
          <w:sz w:val="20"/>
        </w:rPr>
        <w:t>VII.</w:t>
      </w:r>
    </w:p>
    <w:p>
      <w:pPr>
        <w:pStyle w:val="BodyText"/>
        <w:rPr>
          <w:sz w:val="22"/>
        </w:rPr>
      </w:pPr>
    </w:p>
    <w:p>
      <w:pPr>
        <w:pStyle w:val="BodyText"/>
        <w:spacing w:before="2"/>
        <w:rPr>
          <w:sz w:val="28"/>
        </w:rPr>
      </w:pPr>
    </w:p>
    <w:p>
      <w:pPr>
        <w:pStyle w:val="ListParagraph"/>
        <w:numPr>
          <w:ilvl w:val="0"/>
          <w:numId w:val="151"/>
        </w:numPr>
        <w:tabs>
          <w:tab w:pos="951" w:val="left" w:leader="none"/>
        </w:tabs>
        <w:spacing w:line="276" w:lineRule="auto" w:before="0" w:after="0"/>
        <w:ind w:left="726" w:right="702" w:firstLine="0"/>
        <w:jc w:val="both"/>
        <w:rPr>
          <w:sz w:val="20"/>
        </w:rPr>
      </w:pPr>
      <w:r>
        <w:rPr>
          <w:sz w:val="20"/>
        </w:rPr>
        <w:t>1. paragraftaki amaç doğrultusunda, Komisyon üye devletlerden ve denetim makamlarından bilgi talep edebilir.</w:t>
      </w:r>
    </w:p>
    <w:p>
      <w:pPr>
        <w:pStyle w:val="BodyText"/>
        <w:spacing w:before="1"/>
        <w:rPr>
          <w:sz w:val="23"/>
        </w:rPr>
      </w:pPr>
    </w:p>
    <w:p>
      <w:pPr>
        <w:pStyle w:val="ListParagraph"/>
        <w:numPr>
          <w:ilvl w:val="0"/>
          <w:numId w:val="151"/>
        </w:numPr>
        <w:tabs>
          <w:tab w:pos="1061" w:val="left" w:leader="none"/>
        </w:tabs>
        <w:spacing w:line="276" w:lineRule="auto" w:before="0" w:after="0"/>
        <w:ind w:left="726" w:right="700" w:firstLine="0"/>
        <w:jc w:val="both"/>
        <w:rPr>
          <w:sz w:val="20"/>
        </w:rPr>
      </w:pPr>
      <w:r>
        <w:rPr>
          <w:sz w:val="20"/>
        </w:rPr>
        <w:t>Komisyon, 1 ve 2. paragraflarda atıfta bulunulan değerlendirmeler ve gözden geçirmeleri gerçekleştirirken, Avrupa Parlamentosu, Konsey ve diğer ilgili organlar veya kaynakların görüşleri ve bulgularını dikkate</w:t>
      </w:r>
      <w:r>
        <w:rPr>
          <w:spacing w:val="-2"/>
          <w:sz w:val="20"/>
        </w:rPr>
        <w:t> </w:t>
      </w:r>
      <w:r>
        <w:rPr>
          <w:sz w:val="20"/>
        </w:rPr>
        <w:t>alır.</w:t>
      </w:r>
    </w:p>
    <w:p>
      <w:pPr>
        <w:pStyle w:val="BodyText"/>
        <w:rPr>
          <w:sz w:val="22"/>
        </w:rPr>
      </w:pPr>
    </w:p>
    <w:p>
      <w:pPr>
        <w:pStyle w:val="BodyText"/>
        <w:spacing w:before="2"/>
        <w:rPr>
          <w:sz w:val="24"/>
        </w:rPr>
      </w:pPr>
    </w:p>
    <w:p>
      <w:pPr>
        <w:pStyle w:val="ListParagraph"/>
        <w:numPr>
          <w:ilvl w:val="0"/>
          <w:numId w:val="151"/>
        </w:numPr>
        <w:tabs>
          <w:tab w:pos="1023" w:val="left" w:leader="none"/>
        </w:tabs>
        <w:spacing w:line="276" w:lineRule="auto" w:before="0" w:after="0"/>
        <w:ind w:left="726" w:right="693" w:firstLine="0"/>
        <w:jc w:val="both"/>
        <w:rPr>
          <w:sz w:val="20"/>
        </w:rPr>
      </w:pPr>
      <w:r>
        <w:rPr>
          <w:sz w:val="20"/>
        </w:rPr>
        <w:t>Komisyon, gerekmesi halinde, özellikle bilgi teknolojisindeki gelişmeleri dikkate alarak ve bilgi toplumundaki ilerleme durumu ışığında, bu Tüzük’te değişiklik yapılmasına ilişkin uygun önerilerde bulunur.</w:t>
      </w:r>
    </w:p>
    <w:p>
      <w:pPr>
        <w:pStyle w:val="BodyText"/>
        <w:spacing w:before="1"/>
        <w:rPr>
          <w:sz w:val="23"/>
        </w:rPr>
      </w:pPr>
    </w:p>
    <w:p>
      <w:pPr>
        <w:pStyle w:val="BodyText"/>
        <w:spacing w:line="276" w:lineRule="auto"/>
        <w:ind w:left="5035" w:right="5053"/>
        <w:jc w:val="center"/>
      </w:pPr>
      <w:r>
        <w:rPr/>
        <w:t>Madde 98</w:t>
      </w:r>
    </w:p>
    <w:p>
      <w:pPr>
        <w:pStyle w:val="BodyText"/>
        <w:rPr>
          <w:sz w:val="22"/>
        </w:rPr>
      </w:pPr>
    </w:p>
    <w:p>
      <w:pPr>
        <w:pStyle w:val="BodyText"/>
        <w:spacing w:before="3"/>
        <w:rPr>
          <w:sz w:val="24"/>
        </w:rPr>
      </w:pPr>
    </w:p>
    <w:p>
      <w:pPr>
        <w:pStyle w:val="Heading1"/>
        <w:spacing w:line="276" w:lineRule="auto"/>
        <w:ind w:left="3223" w:right="3244"/>
      </w:pPr>
      <w:r>
        <w:rPr/>
        <w:t>Birliğin veri korumaya ilişkin diğer hukuki tasarruflarının gözden geçirilmesi</w:t>
      </w:r>
    </w:p>
    <w:p>
      <w:pPr>
        <w:pStyle w:val="BodyText"/>
        <w:spacing w:before="1"/>
        <w:rPr>
          <w:b/>
          <w:sz w:val="23"/>
        </w:rPr>
      </w:pPr>
    </w:p>
    <w:p>
      <w:pPr>
        <w:pStyle w:val="BodyText"/>
        <w:spacing w:line="276" w:lineRule="auto"/>
        <w:ind w:left="726" w:right="694"/>
        <w:jc w:val="both"/>
      </w:pPr>
      <w:r>
        <w:rPr/>
        <w:t>Komisyon, uygun olduğu hallerde, gerçek kişilerin işleme faaliyetleri ile alakalı olarak standart ve tutarlı bir şekilde korunmasının sağlanması amacıyla, Birliğin kişisel verilerin korunmasına ilişkin diğer hukuki tasarruflarında değişiklik yapılmasına yönelik yasal önerilerde bulunur. Bu husus, özellikle gerçek kişilerin Birlik kurumları, organları, ofisleri ve ajansları tarafından gerçekleştirilen işleme faaliyetleri ile alakalı olarak korunması ve söz konusu verilerin serbest dolaşımına ilişkin kurallarla</w:t>
      </w:r>
      <w:r>
        <w:rPr>
          <w:spacing w:val="-21"/>
        </w:rPr>
        <w:t> </w:t>
      </w:r>
      <w:r>
        <w:rPr/>
        <w:t>ilgilidir.</w:t>
      </w:r>
    </w:p>
    <w:p>
      <w:pPr>
        <w:pStyle w:val="BodyText"/>
        <w:rPr>
          <w:sz w:val="22"/>
        </w:rPr>
      </w:pPr>
    </w:p>
    <w:p>
      <w:pPr>
        <w:pStyle w:val="BodyText"/>
        <w:rPr>
          <w:sz w:val="22"/>
        </w:rPr>
      </w:pPr>
    </w:p>
    <w:p>
      <w:pPr>
        <w:pStyle w:val="BodyText"/>
        <w:spacing w:before="2"/>
        <w:rPr>
          <w:sz w:val="25"/>
        </w:rPr>
      </w:pPr>
    </w:p>
    <w:p>
      <w:pPr>
        <w:pStyle w:val="BodyText"/>
        <w:spacing w:line="276" w:lineRule="auto"/>
        <w:ind w:left="5035" w:right="5053"/>
        <w:jc w:val="center"/>
      </w:pPr>
      <w:r>
        <w:rPr/>
        <w:t>Madde 99</w:t>
      </w:r>
    </w:p>
    <w:p>
      <w:pPr>
        <w:pStyle w:val="BodyText"/>
        <w:rPr>
          <w:sz w:val="22"/>
        </w:rPr>
      </w:pPr>
    </w:p>
    <w:p>
      <w:pPr>
        <w:pStyle w:val="BodyText"/>
        <w:rPr>
          <w:sz w:val="24"/>
        </w:rPr>
      </w:pPr>
    </w:p>
    <w:p>
      <w:pPr>
        <w:pStyle w:val="Heading1"/>
        <w:ind w:left="2203"/>
      </w:pPr>
      <w:r>
        <w:rPr/>
        <w:t>Yürürlük ve uygulama</w:t>
      </w:r>
    </w:p>
    <w:p>
      <w:pPr>
        <w:pStyle w:val="BodyText"/>
        <w:rPr>
          <w:b/>
          <w:sz w:val="22"/>
        </w:rPr>
      </w:pPr>
    </w:p>
    <w:p>
      <w:pPr>
        <w:pStyle w:val="BodyText"/>
        <w:spacing w:before="11"/>
        <w:rPr>
          <w:b/>
          <w:sz w:val="27"/>
        </w:rPr>
      </w:pPr>
    </w:p>
    <w:p>
      <w:pPr>
        <w:pStyle w:val="ListParagraph"/>
        <w:numPr>
          <w:ilvl w:val="0"/>
          <w:numId w:val="153"/>
        </w:numPr>
        <w:tabs>
          <w:tab w:pos="987" w:val="left" w:leader="none"/>
        </w:tabs>
        <w:spacing w:line="278" w:lineRule="auto" w:before="0" w:after="0"/>
        <w:ind w:left="726" w:right="697" w:firstLine="0"/>
        <w:jc w:val="both"/>
        <w:rPr>
          <w:sz w:val="20"/>
        </w:rPr>
      </w:pPr>
      <w:r>
        <w:rPr>
          <w:sz w:val="20"/>
        </w:rPr>
        <w:t>Bu Tüzük, </w:t>
      </w:r>
      <w:r>
        <w:rPr>
          <w:i/>
          <w:sz w:val="20"/>
        </w:rPr>
        <w:t>Avrupa Birliği Resmi Gazetesi</w:t>
      </w:r>
      <w:r>
        <w:rPr>
          <w:sz w:val="20"/>
        </w:rPr>
        <w:t>’nde yayımlandığı günden sonraki yirminci gün yürürlüğe girer.</w:t>
      </w:r>
    </w:p>
    <w:p>
      <w:pPr>
        <w:pStyle w:val="BodyText"/>
        <w:spacing w:before="8"/>
        <w:rPr>
          <w:sz w:val="23"/>
        </w:rPr>
      </w:pPr>
    </w:p>
    <w:p>
      <w:pPr>
        <w:pStyle w:val="ListParagraph"/>
        <w:numPr>
          <w:ilvl w:val="0"/>
          <w:numId w:val="153"/>
        </w:numPr>
        <w:tabs>
          <w:tab w:pos="1068" w:val="left" w:leader="none"/>
        </w:tabs>
        <w:spacing w:line="278" w:lineRule="auto" w:before="1" w:after="0"/>
        <w:ind w:left="726" w:right="6943" w:firstLine="0"/>
        <w:jc w:val="left"/>
        <w:rPr>
          <w:sz w:val="20"/>
        </w:rPr>
      </w:pPr>
      <w:r>
        <w:rPr>
          <w:sz w:val="20"/>
        </w:rPr>
        <w:t>Bu Tüzük 25 Mayıs 2018 tarihinden itibaren</w:t>
      </w:r>
      <w:r>
        <w:rPr>
          <w:spacing w:val="-4"/>
          <w:sz w:val="20"/>
        </w:rPr>
        <w:t> </w:t>
      </w:r>
      <w:r>
        <w:rPr>
          <w:sz w:val="20"/>
        </w:rPr>
        <w:t>uygulanır.</w:t>
      </w:r>
    </w:p>
    <w:p>
      <w:pPr>
        <w:pStyle w:val="BodyText"/>
        <w:rPr>
          <w:sz w:val="22"/>
        </w:rPr>
      </w:pPr>
    </w:p>
    <w:p>
      <w:pPr>
        <w:pStyle w:val="BodyText"/>
        <w:spacing w:before="9"/>
        <w:rPr>
          <w:sz w:val="23"/>
        </w:rPr>
      </w:pPr>
    </w:p>
    <w:p>
      <w:pPr>
        <w:pStyle w:val="BodyText"/>
        <w:ind w:left="1751"/>
      </w:pPr>
      <w:r>
        <w:rPr/>
        <w:t>Bu Tüzük bütün unsurlarıyla bağlayıcıdır ve tüm üye devletlerde doğrudan uygulanır.</w:t>
      </w:r>
    </w:p>
    <w:p>
      <w:pPr>
        <w:spacing w:after="0"/>
        <w:sectPr>
          <w:headerReference w:type="default" r:id="rId10"/>
          <w:pgSz w:w="11930" w:h="16850"/>
          <w:pgMar w:header="961" w:footer="0" w:top="1240" w:bottom="280" w:left="620" w:right="600"/>
        </w:sectPr>
      </w:pPr>
    </w:p>
    <w:p>
      <w:pPr>
        <w:tabs>
          <w:tab w:pos="3847" w:val="left" w:leader="none"/>
          <w:tab w:pos="10475" w:val="right" w:leader="none"/>
        </w:tabs>
        <w:spacing w:before="19"/>
        <w:ind w:left="210" w:right="0" w:firstLine="0"/>
        <w:jc w:val="left"/>
        <w:rPr>
          <w:rFonts w:ascii="メイリオ" w:hAnsi="メイリオ"/>
          <w:sz w:val="19"/>
        </w:rPr>
      </w:pPr>
      <w:r>
        <w:rPr/>
        <w:pict>
          <v:line style="position:absolute;mso-position-horizontal-relative:page;mso-position-vertical-relative:paragraph;z-index:2872" from="41.549999pt,19.596437pt" to="553.299999pt,19.596437pt" stroked="true" strokeweight=".61024pt" strokecolor="#000000">
            <v:stroke dashstyle="solid"/>
            <w10:wrap type="none"/>
          </v:line>
        </w:pict>
      </w:r>
      <w:r>
        <w:rPr/>
        <w:pict>
          <v:shape style="position:absolute;margin-left:112.199997pt;margin-top:6.246438pt;width:25.05pt;height:9.1pt;mso-position-horizontal-relative:page;mso-position-vertical-relative:paragraph;z-index:-76624" type="#_x0000_t202" filled="false" stroked="true" strokeweight=".61016pt" strokecolor="#000000">
            <v:textbox inset="0,0,0,0">
              <w:txbxContent>
                <w:p>
                  <w:pPr>
                    <w:spacing w:line="170" w:lineRule="exact" w:before="0"/>
                    <w:ind w:left="145" w:right="0" w:firstLine="0"/>
                    <w:jc w:val="left"/>
                    <w:rPr>
                      <w:rFonts w:ascii="メイリオ"/>
                      <w:sz w:val="17"/>
                    </w:rPr>
                  </w:pPr>
                  <w:r>
                    <w:rPr>
                      <w:rFonts w:ascii="メイリオ"/>
                      <w:sz w:val="17"/>
                    </w:rPr>
                    <w:t>EN</w:t>
                  </w:r>
                </w:p>
              </w:txbxContent>
            </v:textbox>
            <v:stroke dashstyle="solid"/>
            <w10:wrap type="none"/>
          </v:shape>
        </w:pict>
      </w:r>
      <w:r>
        <w:rPr>
          <w:rFonts w:ascii="メイリオ" w:hAnsi="メイリオ"/>
          <w:sz w:val="19"/>
        </w:rPr>
        <w:t>L</w:t>
        <w:tab/>
        <w:t>Avrupa Birli</w:t>
      </w:r>
      <w:r>
        <w:rPr>
          <w:rFonts w:ascii="Times New Roman" w:hAnsi="Times New Roman"/>
          <w:sz w:val="19"/>
        </w:rPr>
        <w:t>ğ</w:t>
      </w:r>
      <w:r>
        <w:rPr>
          <w:rFonts w:ascii="メイリオ" w:hAnsi="メイリオ"/>
          <w:sz w:val="19"/>
        </w:rPr>
        <w:t>i</w:t>
      </w:r>
      <w:r>
        <w:rPr>
          <w:rFonts w:ascii="メイリオ" w:hAnsi="メイリオ"/>
          <w:spacing w:val="-2"/>
          <w:sz w:val="19"/>
        </w:rPr>
        <w:t> </w:t>
      </w:r>
      <w:r>
        <w:rPr>
          <w:rFonts w:ascii="メイリオ" w:hAnsi="メイリオ"/>
          <w:sz w:val="19"/>
        </w:rPr>
        <w:t>Resmi</w:t>
      </w:r>
      <w:r>
        <w:rPr>
          <w:rFonts w:ascii="メイリオ" w:hAnsi="メイリオ"/>
          <w:spacing w:val="-2"/>
          <w:sz w:val="19"/>
        </w:rPr>
        <w:t> </w:t>
      </w:r>
      <w:r>
        <w:rPr>
          <w:rFonts w:ascii="メイリオ" w:hAnsi="メイリオ"/>
          <w:sz w:val="19"/>
        </w:rPr>
        <w:t>Gazetesi</w:t>
        <w:tab/>
        <w:t>4.5.201</w:t>
      </w:r>
    </w:p>
    <w:p>
      <w:pPr>
        <w:pStyle w:val="BodyText"/>
        <w:spacing w:before="86"/>
        <w:ind w:left="1751"/>
      </w:pPr>
      <w:r>
        <w:rPr/>
        <w:t>Brüksel’de 27 Nisan 2016 tarihinde düzenlenmiştir.</w:t>
      </w:r>
    </w:p>
    <w:p>
      <w:pPr>
        <w:spacing w:after="0"/>
        <w:sectPr>
          <w:headerReference w:type="even" r:id="rId11"/>
          <w:pgSz w:w="11930" w:h="16850"/>
          <w:pgMar w:header="0" w:footer="0" w:top="880" w:bottom="280" w:left="620" w:right="600"/>
        </w:sectPr>
      </w:pPr>
    </w:p>
    <w:p>
      <w:pPr>
        <w:pStyle w:val="BodyText"/>
        <w:rPr>
          <w:sz w:val="22"/>
        </w:rPr>
      </w:pPr>
    </w:p>
    <w:p>
      <w:pPr>
        <w:pStyle w:val="BodyText"/>
        <w:rPr>
          <w:sz w:val="22"/>
        </w:rPr>
      </w:pPr>
    </w:p>
    <w:p>
      <w:pPr>
        <w:pStyle w:val="BodyText"/>
        <w:spacing w:before="5"/>
        <w:rPr>
          <w:sz w:val="31"/>
        </w:rPr>
      </w:pPr>
    </w:p>
    <w:p>
      <w:pPr>
        <w:pStyle w:val="BodyText"/>
        <w:spacing w:line="276" w:lineRule="auto"/>
        <w:ind w:left="3290" w:right="-15" w:hanging="711"/>
      </w:pPr>
      <w:r>
        <w:rPr/>
        <w:t>Avrupa</w:t>
      </w:r>
      <w:r>
        <w:rPr>
          <w:spacing w:val="-7"/>
        </w:rPr>
        <w:t> </w:t>
      </w:r>
      <w:r>
        <w:rPr/>
        <w:t>Parlamentosu adına</w:t>
      </w:r>
    </w:p>
    <w:p>
      <w:pPr>
        <w:pStyle w:val="BodyText"/>
        <w:spacing w:before="78"/>
        <w:ind w:right="495"/>
        <w:jc w:val="right"/>
      </w:pPr>
      <w:r>
        <w:rPr/>
        <w:t>Başkan</w:t>
      </w:r>
    </w:p>
    <w:p>
      <w:pPr>
        <w:pStyle w:val="BodyText"/>
        <w:spacing w:before="34"/>
        <w:ind w:right="551"/>
        <w:jc w:val="right"/>
      </w:pPr>
      <w:r>
        <w:rPr/>
        <w:t>M. SCHULZ</w:t>
      </w:r>
    </w:p>
    <w:p>
      <w:pPr>
        <w:pStyle w:val="BodyText"/>
        <w:rPr>
          <w:sz w:val="22"/>
        </w:rPr>
      </w:pPr>
      <w:r>
        <w:rPr/>
        <w:br w:type="column"/>
      </w:r>
      <w:r>
        <w:rPr>
          <w:sz w:val="22"/>
        </w:rPr>
      </w:r>
    </w:p>
    <w:p>
      <w:pPr>
        <w:pStyle w:val="BodyText"/>
        <w:rPr>
          <w:sz w:val="22"/>
        </w:rPr>
      </w:pPr>
    </w:p>
    <w:p>
      <w:pPr>
        <w:pStyle w:val="BodyText"/>
        <w:spacing w:before="5"/>
        <w:rPr>
          <w:sz w:val="31"/>
        </w:rPr>
      </w:pPr>
    </w:p>
    <w:p>
      <w:pPr>
        <w:pStyle w:val="BodyText"/>
        <w:spacing w:line="276" w:lineRule="auto"/>
        <w:ind w:left="2242" w:right="3215"/>
        <w:jc w:val="center"/>
      </w:pPr>
      <w:r>
        <w:rPr/>
        <w:t>Konsey adına</w:t>
      </w:r>
    </w:p>
    <w:p>
      <w:pPr>
        <w:pStyle w:val="BodyText"/>
        <w:spacing w:before="78"/>
        <w:ind w:left="2242" w:right="3219"/>
        <w:jc w:val="center"/>
      </w:pPr>
      <w:r>
        <w:rPr/>
        <w:t>Başkan</w:t>
      </w:r>
    </w:p>
    <w:p>
      <w:pPr>
        <w:pStyle w:val="BodyText"/>
        <w:spacing w:line="276" w:lineRule="auto" w:before="34"/>
        <w:ind w:left="1858" w:right="2823" w:firstLine="122"/>
      </w:pPr>
      <w:r>
        <w:rPr/>
        <w:t>J.A. HENNIS- PLASSCHAERT</w:t>
      </w:r>
    </w:p>
    <w:p>
      <w:pPr>
        <w:spacing w:after="0" w:line="276" w:lineRule="auto"/>
        <w:sectPr>
          <w:type w:val="continuous"/>
          <w:pgSz w:w="11930" w:h="16850"/>
          <w:pgMar w:top="1240" w:bottom="0" w:left="620" w:right="600"/>
          <w:cols w:num="2" w:equalWidth="0">
            <w:col w:w="4501" w:space="40"/>
            <w:col w:w="6169"/>
          </w:cols>
        </w:sectPr>
      </w:pPr>
    </w:p>
    <w:p>
      <w:pPr>
        <w:pStyle w:val="BodyText"/>
      </w:pPr>
    </w:p>
    <w:p>
      <w:pPr>
        <w:pStyle w:val="BodyText"/>
      </w:pPr>
    </w:p>
    <w:p>
      <w:pPr>
        <w:pStyle w:val="BodyText"/>
        <w:spacing w:before="3"/>
        <w:rPr>
          <w:sz w:val="23"/>
        </w:rPr>
      </w:pPr>
    </w:p>
    <w:p>
      <w:pPr>
        <w:pStyle w:val="BodyText"/>
        <w:spacing w:line="20" w:lineRule="exact"/>
        <w:ind w:left="4301"/>
        <w:rPr>
          <w:sz w:val="2"/>
        </w:rPr>
      </w:pPr>
      <w:r>
        <w:rPr>
          <w:sz w:val="2"/>
        </w:rPr>
        <w:pict>
          <v:group style="width:102.35pt;height:.7pt;mso-position-horizontal-relative:char;mso-position-vertical-relative:line" coordorigin="0,0" coordsize="2047,14">
            <v:line style="position:absolute" from="0,7" to="2047,7" stroked="true" strokeweight=".66685pt" strokecolor="#000000">
              <v:stroke dashstyle="solid"/>
            </v:line>
          </v:group>
        </w:pict>
      </w:r>
      <w:r>
        <w:rPr>
          <w:sz w:val="2"/>
        </w:rPr>
      </w:r>
    </w:p>
    <w:sectPr>
      <w:type w:val="continuous"/>
      <w:pgSz w:w="11930" w:h="16850"/>
      <w:pgMar w:top="1240" w:bottom="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メイリオ">
    <w:altName w:val="メイリオ"/>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111.89492pt;margin-top:49.9949pt;width:25.7pt;height:9.75pt;mso-position-horizontal-relative:page;mso-position-vertical-relative:page;z-index:-78496" coordorigin="2238,1000" coordsize="514,195">
          <v:line style="position:absolute" from="2244,1010" to="2244,1191" stroked="true" strokeweight=".61016pt" strokecolor="#000000">
            <v:stroke dashstyle="solid"/>
          </v:line>
          <v:line style="position:absolute" from="2239,1188" to="2750,1188" stroked="true" strokeweight=".61024pt" strokecolor="#000000">
            <v:stroke dashstyle="solid"/>
          </v:line>
          <v:shape style="position:absolute;left:2239;top:1006;width:511;height:185" coordorigin="2239,1006" coordsize="511,185" path="m2239,1006l2750,1006m2745,1010l2745,1191e" filled="false" stroked="true" strokeweight=".61016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0.520pt;margin-top:47.030624pt;width:38.15pt;height:16.25pt;mso-position-horizontal-relative:page;mso-position-vertical-relative:page;z-index:-78472" type="#_x0000_t202" filled="false" stroked="false">
          <v:textbox inset="0,0,0,0">
            <w:txbxContent>
              <w:p>
                <w:pPr>
                  <w:spacing w:line="305" w:lineRule="exact" w:before="0"/>
                  <w:ind w:left="20" w:right="0" w:firstLine="0"/>
                  <w:jc w:val="left"/>
                  <w:rPr>
                    <w:rFonts w:ascii="メイリオ"/>
                    <w:sz w:val="19"/>
                  </w:rPr>
                </w:pPr>
                <w:r>
                  <w:rPr>
                    <w:rFonts w:ascii="メイリオ"/>
                    <w:sz w:val="19"/>
                  </w:rPr>
                  <w:t>4.5.201</w:t>
                </w:r>
              </w:p>
            </w:txbxContent>
          </v:textbox>
          <w10:wrap type="none"/>
        </v:shape>
      </w:pict>
    </w:r>
    <w:r>
      <w:rPr/>
      <w:pict>
        <v:shape style="position:absolute;margin-left:222.369995pt;margin-top:47.030624pt;width:136.4pt;height:16.25pt;mso-position-horizontal-relative:page;mso-position-vertical-relative:page;z-index:-78448" type="#_x0000_t202" filled="false" stroked="false">
          <v:textbox inset="0,0,0,0">
            <w:txbxContent>
              <w:p>
                <w:pPr>
                  <w:spacing w:line="305" w:lineRule="exact" w:before="0"/>
                  <w:ind w:left="20" w:right="0" w:firstLine="0"/>
                  <w:jc w:val="left"/>
                  <w:rPr>
                    <w:rFonts w:ascii="メイリオ" w:hAnsi="メイリオ"/>
                    <w:sz w:val="19"/>
                  </w:rPr>
                </w:pPr>
                <w:r>
                  <w:rPr>
                    <w:rFonts w:ascii="メイリオ" w:hAnsi="メイリオ"/>
                    <w:sz w:val="19"/>
                  </w:rPr>
                  <w:t>Avrupa Birli</w:t>
                </w:r>
                <w:r>
                  <w:rPr>
                    <w:rFonts w:ascii="Times New Roman" w:hAnsi="Times New Roman"/>
                    <w:sz w:val="19"/>
                  </w:rPr>
                  <w:t>ğ</w:t>
                </w:r>
                <w:r>
                  <w:rPr>
                    <w:rFonts w:ascii="メイリオ" w:hAnsi="メイリオ"/>
                    <w:sz w:val="19"/>
                  </w:rPr>
                  <w:t>i Resmi Gazetesi</w:t>
                </w:r>
              </w:p>
            </w:txbxContent>
          </v:textbox>
          <w10:wrap type="none"/>
        </v:shape>
      </w:pict>
    </w:r>
    <w:r>
      <w:rPr/>
      <w:pict>
        <v:shape style="position:absolute;margin-left:516.679993pt;margin-top:47.030624pt;width:39.25pt;height:16.25pt;mso-position-horizontal-relative:page;mso-position-vertical-relative:page;z-index:-78424" type="#_x0000_t202" filled="false" stroked="false">
          <v:textbox inset="0,0,0,0">
            <w:txbxContent>
              <w:p>
                <w:pPr>
                  <w:spacing w:line="305" w:lineRule="exact" w:before="0"/>
                  <w:ind w:left="20" w:right="0" w:firstLine="0"/>
                  <w:jc w:val="left"/>
                  <w:rPr>
                    <w:rFonts w:ascii="メイリオ"/>
                    <w:sz w:val="19"/>
                  </w:rPr>
                </w:pPr>
                <w:r>
                  <w:rPr>
                    <w:rFonts w:ascii="メイリオ"/>
                    <w:sz w:val="19"/>
                  </w:rPr>
                  <w:t>L 119/</w:t>
                </w:r>
                <w:r>
                  <w:rPr/>
                  <w:fldChar w:fldCharType="begin"/>
                </w:r>
                <w:r>
                  <w:rPr>
                    <w:rFonts w:ascii="メイリオ"/>
                    <w:sz w:val="19"/>
                  </w:rPr>
                  <w:instrText> PAGE </w:instrText>
                </w:r>
                <w:r>
                  <w:rPr/>
                  <w:fldChar w:fldCharType="separate"/>
                </w:r>
                <w:r>
                  <w:rPr/>
                  <w:t>1</w:t>
                </w:r>
                <w:r>
                  <w:rPr/>
                  <w:fldChar w:fldCharType="end"/>
                </w:r>
              </w:p>
            </w:txbxContent>
          </v:textbox>
          <w10:wrap type="none"/>
        </v:shape>
      </w:pict>
    </w:r>
    <w:r>
      <w:rPr/>
      <w:pict>
        <v:shape style="position:absolute;margin-left:118.779999pt;margin-top:48.408279pt;width:13.65pt;height:14.8pt;mso-position-horizontal-relative:page;mso-position-vertical-relative:page;z-index:-78400" type="#_x0000_t202" filled="false" stroked="false">
          <v:textbox inset="0,0,0,0">
            <w:txbxContent>
              <w:p>
                <w:pPr>
                  <w:spacing w:line="275" w:lineRule="exact" w:before="0"/>
                  <w:ind w:left="20" w:right="0" w:firstLine="0"/>
                  <w:jc w:val="left"/>
                  <w:rPr>
                    <w:rFonts w:ascii="メイリオ"/>
                    <w:sz w:val="17"/>
                  </w:rPr>
                </w:pPr>
                <w:r>
                  <w:rPr>
                    <w:rFonts w:ascii="メイリオ"/>
                    <w:sz w:val="17"/>
                  </w:rPr>
                  <w:t>EN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111.89492pt;margin-top:49.9949pt;width:25.7pt;height:9.75pt;mso-position-horizontal-relative:page;mso-position-vertical-relative:page;z-index:-78376" coordorigin="2238,1000" coordsize="514,195">
          <v:line style="position:absolute" from="2244,1010" to="2244,1191" stroked="true" strokeweight=".61016pt" strokecolor="#000000">
            <v:stroke dashstyle="solid"/>
          </v:line>
          <v:line style="position:absolute" from="2239,1188" to="2750,1188" stroked="true" strokeweight=".61024pt" strokecolor="#000000">
            <v:stroke dashstyle="solid"/>
          </v:line>
          <v:shape style="position:absolute;left:2239;top:1006;width:511;height:185" coordorigin="2239,1006" coordsize="511,185" path="m2239,1006l2750,1006m2745,1010l2745,1191e" filled="false" stroked="true" strokeweight=".61016pt" strokecolor="#000000">
            <v:path arrowok="t"/>
            <v:stroke dashstyle="solid"/>
          </v:shape>
          <w10:wrap type="none"/>
        </v:group>
      </w:pict>
    </w:r>
    <w:r>
      <w:rPr/>
      <w:pict>
        <v:shape style="position:absolute;margin-left:40.520pt;margin-top:47.030624pt;width:39.3pt;height:16.25pt;mso-position-horizontal-relative:page;mso-position-vertical-relative:page;z-index:-78352" type="#_x0000_t202" filled="false" stroked="false">
          <v:textbox inset="0,0,0,0">
            <w:txbxContent>
              <w:p>
                <w:pPr>
                  <w:spacing w:line="305" w:lineRule="exact" w:before="0"/>
                  <w:ind w:left="20" w:right="0" w:firstLine="0"/>
                  <w:jc w:val="left"/>
                  <w:rPr>
                    <w:rFonts w:ascii="メイリオ"/>
                    <w:sz w:val="19"/>
                  </w:rPr>
                </w:pPr>
                <w:r>
                  <w:rPr>
                    <w:rFonts w:ascii="メイリオ"/>
                    <w:sz w:val="19"/>
                  </w:rPr>
                  <w:t>L 119/</w:t>
                </w:r>
                <w:r>
                  <w:rPr/>
                  <w:fldChar w:fldCharType="begin"/>
                </w:r>
                <w:r>
                  <w:rPr>
                    <w:rFonts w:ascii="メイリオ"/>
                    <w:sz w:val="19"/>
                  </w:rPr>
                  <w:instrText> PAGE </w:instrText>
                </w:r>
                <w:r>
                  <w:rPr/>
                  <w:fldChar w:fldCharType="separate"/>
                </w:r>
                <w:r>
                  <w:rPr/>
                  <w:t>2</w:t>
                </w:r>
                <w:r>
                  <w:rPr/>
                  <w:fldChar w:fldCharType="end"/>
                </w:r>
              </w:p>
            </w:txbxContent>
          </v:textbox>
          <w10:wrap type="none"/>
        </v:shape>
      </w:pict>
    </w:r>
    <w:r>
      <w:rPr/>
      <w:pict>
        <v:shape style="position:absolute;margin-left:222.369995pt;margin-top:47.030624pt;width:136.4pt;height:16.25pt;mso-position-horizontal-relative:page;mso-position-vertical-relative:page;z-index:-78328" type="#_x0000_t202" filled="false" stroked="false">
          <v:textbox inset="0,0,0,0">
            <w:txbxContent>
              <w:p>
                <w:pPr>
                  <w:spacing w:line="305" w:lineRule="exact" w:before="0"/>
                  <w:ind w:left="20" w:right="0" w:firstLine="0"/>
                  <w:jc w:val="left"/>
                  <w:rPr>
                    <w:rFonts w:ascii="メイリオ" w:hAnsi="メイリオ"/>
                    <w:sz w:val="19"/>
                  </w:rPr>
                </w:pPr>
                <w:r>
                  <w:rPr>
                    <w:rFonts w:ascii="メイリオ" w:hAnsi="メイリオ"/>
                    <w:sz w:val="19"/>
                  </w:rPr>
                  <w:t>Avrupa Birli</w:t>
                </w:r>
                <w:r>
                  <w:rPr>
                    <w:rFonts w:ascii="Times New Roman" w:hAnsi="Times New Roman"/>
                    <w:sz w:val="19"/>
                  </w:rPr>
                  <w:t>ğ</w:t>
                </w:r>
                <w:r>
                  <w:rPr>
                    <w:rFonts w:ascii="メイリオ" w:hAnsi="メイリオ"/>
                    <w:sz w:val="19"/>
                  </w:rPr>
                  <w:t>i Resmi Gazetesi</w:t>
                </w:r>
              </w:p>
            </w:txbxContent>
          </v:textbox>
          <w10:wrap type="none"/>
        </v:shape>
      </w:pict>
    </w:r>
    <w:r>
      <w:rPr/>
      <w:pict>
        <v:shape style="position:absolute;margin-left:517.640015pt;margin-top:47.030624pt;width:38.15pt;height:16.25pt;mso-position-horizontal-relative:page;mso-position-vertical-relative:page;z-index:-78304" type="#_x0000_t202" filled="false" stroked="false">
          <v:textbox inset="0,0,0,0">
            <w:txbxContent>
              <w:p>
                <w:pPr>
                  <w:spacing w:line="305" w:lineRule="exact" w:before="0"/>
                  <w:ind w:left="20" w:right="0" w:firstLine="0"/>
                  <w:jc w:val="left"/>
                  <w:rPr>
                    <w:rFonts w:ascii="メイリオ"/>
                    <w:sz w:val="19"/>
                  </w:rPr>
                </w:pPr>
                <w:r>
                  <w:rPr>
                    <w:rFonts w:ascii="メイリオ"/>
                    <w:sz w:val="19"/>
                  </w:rPr>
                  <w:t>4.5.201</w:t>
                </w:r>
              </w:p>
            </w:txbxContent>
          </v:textbox>
          <w10:wrap type="none"/>
        </v:shape>
      </w:pict>
    </w:r>
    <w:r>
      <w:rPr/>
      <w:pict>
        <v:shape style="position:absolute;margin-left:118.779999pt;margin-top:48.408279pt;width:13.65pt;height:14.8pt;mso-position-horizontal-relative:page;mso-position-vertical-relative:page;z-index:-78280" type="#_x0000_t202" filled="false" stroked="false">
          <v:textbox inset="0,0,0,0">
            <w:txbxContent>
              <w:p>
                <w:pPr>
                  <w:spacing w:line="275" w:lineRule="exact" w:before="0"/>
                  <w:ind w:left="20" w:right="0" w:firstLine="0"/>
                  <w:jc w:val="left"/>
                  <w:rPr>
                    <w:rFonts w:ascii="メイリオ"/>
                    <w:sz w:val="17"/>
                  </w:rPr>
                </w:pPr>
                <w:r>
                  <w:rPr>
                    <w:rFonts w:ascii="メイリオ"/>
                    <w:sz w:val="17"/>
                  </w:rPr>
                  <w:t>EN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111.89492pt;margin-top:49.9949pt;width:25.7pt;height:9.75pt;mso-position-horizontal-relative:page;mso-position-vertical-relative:page;z-index:-78256" coordorigin="2238,1000" coordsize="514,195">
          <v:line style="position:absolute" from="2244,1010" to="2244,1191" stroked="true" strokeweight=".61016pt" strokecolor="#000000">
            <v:stroke dashstyle="solid"/>
          </v:line>
          <v:line style="position:absolute" from="2239,1188" to="2750,1188" stroked="true" strokeweight=".61024pt" strokecolor="#000000">
            <v:stroke dashstyle="solid"/>
          </v:line>
          <v:shape style="position:absolute;left:2239;top:1006;width:511;height:185" coordorigin="2239,1006" coordsize="511,185" path="m2239,1006l2750,1006m2745,1010l2745,1191e" filled="false" stroked="true" strokeweight=".61016pt" strokecolor="#000000">
            <v:path arrowok="t"/>
            <v:stroke dashstyle="solid"/>
          </v:shape>
          <w10:wrap type="none"/>
        </v:group>
      </w:pict>
    </w:r>
    <w:r>
      <w:rPr/>
      <w:pict>
        <v:shape style="position:absolute;margin-left:40.520pt;margin-top:47.030624pt;width:7.3pt;height:16.25pt;mso-position-horizontal-relative:page;mso-position-vertical-relative:page;z-index:-78232" type="#_x0000_t202" filled="false" stroked="false">
          <v:textbox inset="0,0,0,0">
            <w:txbxContent>
              <w:p>
                <w:pPr>
                  <w:spacing w:line="305" w:lineRule="exact" w:before="0"/>
                  <w:ind w:left="20" w:right="0" w:firstLine="0"/>
                  <w:jc w:val="left"/>
                  <w:rPr>
                    <w:rFonts w:ascii="メイリオ"/>
                    <w:sz w:val="19"/>
                  </w:rPr>
                </w:pPr>
                <w:r>
                  <w:rPr>
                    <w:rFonts w:ascii="メイリオ"/>
                    <w:w w:val="99"/>
                    <w:sz w:val="19"/>
                  </w:rPr>
                  <w:t>L</w:t>
                </w:r>
              </w:p>
            </w:txbxContent>
          </v:textbox>
          <w10:wrap type="none"/>
        </v:shape>
      </w:pict>
    </w:r>
    <w:r>
      <w:rPr/>
      <w:pict>
        <v:shape style="position:absolute;margin-left:222.369995pt;margin-top:47.030624pt;width:136.4pt;height:16.25pt;mso-position-horizontal-relative:page;mso-position-vertical-relative:page;z-index:-78208" type="#_x0000_t202" filled="false" stroked="false">
          <v:textbox inset="0,0,0,0">
            <w:txbxContent>
              <w:p>
                <w:pPr>
                  <w:spacing w:line="305" w:lineRule="exact" w:before="0"/>
                  <w:ind w:left="20" w:right="0" w:firstLine="0"/>
                  <w:jc w:val="left"/>
                  <w:rPr>
                    <w:rFonts w:ascii="メイリオ" w:hAnsi="メイリオ"/>
                    <w:sz w:val="19"/>
                  </w:rPr>
                </w:pPr>
                <w:r>
                  <w:rPr>
                    <w:rFonts w:ascii="メイリオ" w:hAnsi="メイリオ"/>
                    <w:sz w:val="19"/>
                  </w:rPr>
                  <w:t>Avrupa Birli</w:t>
                </w:r>
                <w:r>
                  <w:rPr>
                    <w:rFonts w:ascii="Times New Roman" w:hAnsi="Times New Roman"/>
                    <w:sz w:val="19"/>
                  </w:rPr>
                  <w:t>ğ</w:t>
                </w:r>
                <w:r>
                  <w:rPr>
                    <w:rFonts w:ascii="メイリオ" w:hAnsi="メイリオ"/>
                    <w:sz w:val="19"/>
                  </w:rPr>
                  <w:t>i Resmi Gazetesi</w:t>
                </w:r>
              </w:p>
            </w:txbxContent>
          </v:textbox>
          <w10:wrap type="none"/>
        </v:shape>
      </w:pict>
    </w:r>
    <w:r>
      <w:rPr/>
      <w:pict>
        <v:shape style="position:absolute;margin-left:517.640015pt;margin-top:47.030624pt;width:38.15pt;height:16.25pt;mso-position-horizontal-relative:page;mso-position-vertical-relative:page;z-index:-78184" type="#_x0000_t202" filled="false" stroked="false">
          <v:textbox inset="0,0,0,0">
            <w:txbxContent>
              <w:p>
                <w:pPr>
                  <w:spacing w:line="305" w:lineRule="exact" w:before="0"/>
                  <w:ind w:left="20" w:right="0" w:firstLine="0"/>
                  <w:jc w:val="left"/>
                  <w:rPr>
                    <w:rFonts w:ascii="メイリオ"/>
                    <w:sz w:val="19"/>
                  </w:rPr>
                </w:pPr>
                <w:r>
                  <w:rPr>
                    <w:rFonts w:ascii="メイリオ"/>
                    <w:sz w:val="19"/>
                  </w:rPr>
                  <w:t>4.5.201</w:t>
                </w:r>
              </w:p>
            </w:txbxContent>
          </v:textbox>
          <w10:wrap type="none"/>
        </v:shape>
      </w:pict>
    </w:r>
    <w:r>
      <w:rPr/>
      <w:pict>
        <v:shape style="position:absolute;margin-left:118.779999pt;margin-top:48.408279pt;width:13.65pt;height:14.8pt;mso-position-horizontal-relative:page;mso-position-vertical-relative:page;z-index:-78160" type="#_x0000_t202" filled="false" stroked="false">
          <v:textbox inset="0,0,0,0">
            <w:txbxContent>
              <w:p>
                <w:pPr>
                  <w:spacing w:line="275" w:lineRule="exact" w:before="0"/>
                  <w:ind w:left="20" w:right="0" w:firstLine="0"/>
                  <w:jc w:val="left"/>
                  <w:rPr>
                    <w:rFonts w:ascii="メイリオ"/>
                    <w:sz w:val="17"/>
                  </w:rPr>
                </w:pPr>
                <w:r>
                  <w:rPr>
                    <w:rFonts w:ascii="メイリオ"/>
                    <w:sz w:val="17"/>
                  </w:rPr>
                  <w:t>EN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111.89492pt;margin-top:49.9949pt;width:25.7pt;height:9.75pt;mso-position-horizontal-relative:page;mso-position-vertical-relative:page;z-index:-78136" coordorigin="2238,1000" coordsize="514,195">
          <v:line style="position:absolute" from="2244,1010" to="2244,1191" stroked="true" strokeweight=".61016pt" strokecolor="#000000">
            <v:stroke dashstyle="solid"/>
          </v:line>
          <v:line style="position:absolute" from="2239,1188" to="2750,1188" stroked="true" strokeweight=".61024pt" strokecolor="#000000">
            <v:stroke dashstyle="solid"/>
          </v:line>
          <v:shape style="position:absolute;left:2239;top:1006;width:511;height:185" coordorigin="2239,1006" coordsize="511,185" path="m2239,1006l2750,1006m2745,1010l2745,1191e" filled="false" stroked="true" strokeweight=".61016pt" strokecolor="#000000">
            <v:path arrowok="t"/>
            <v:stroke dashstyle="solid"/>
          </v:shape>
          <w10:wrap type="none"/>
        </v:group>
      </w:pict>
    </w:r>
    <w:r>
      <w:rPr/>
      <w:pict>
        <v:shape style="position:absolute;margin-left:40.520pt;margin-top:47.030624pt;width:38.15pt;height:16.25pt;mso-position-horizontal-relative:page;mso-position-vertical-relative:page;z-index:-78112" type="#_x0000_t202" filled="false" stroked="false">
          <v:textbox inset="0,0,0,0">
            <w:txbxContent>
              <w:p>
                <w:pPr>
                  <w:spacing w:line="305" w:lineRule="exact" w:before="0"/>
                  <w:ind w:left="20" w:right="0" w:firstLine="0"/>
                  <w:jc w:val="left"/>
                  <w:rPr>
                    <w:rFonts w:ascii="メイリオ"/>
                    <w:sz w:val="19"/>
                  </w:rPr>
                </w:pPr>
                <w:r>
                  <w:rPr>
                    <w:rFonts w:ascii="メイリオ"/>
                    <w:sz w:val="19"/>
                  </w:rPr>
                  <w:t>4.5.201</w:t>
                </w:r>
              </w:p>
            </w:txbxContent>
          </v:textbox>
          <w10:wrap type="none"/>
        </v:shape>
      </w:pict>
    </w:r>
    <w:r>
      <w:rPr/>
      <w:pict>
        <v:shape style="position:absolute;margin-left:222.369995pt;margin-top:47.030624pt;width:136.4pt;height:16.25pt;mso-position-horizontal-relative:page;mso-position-vertical-relative:page;z-index:-78088" type="#_x0000_t202" filled="false" stroked="false">
          <v:textbox inset="0,0,0,0">
            <w:txbxContent>
              <w:p>
                <w:pPr>
                  <w:spacing w:line="305" w:lineRule="exact" w:before="0"/>
                  <w:ind w:left="20" w:right="0" w:firstLine="0"/>
                  <w:jc w:val="left"/>
                  <w:rPr>
                    <w:rFonts w:ascii="メイリオ" w:hAnsi="メイリオ"/>
                    <w:sz w:val="19"/>
                  </w:rPr>
                </w:pPr>
                <w:r>
                  <w:rPr>
                    <w:rFonts w:ascii="メイリオ" w:hAnsi="メイリオ"/>
                    <w:sz w:val="19"/>
                  </w:rPr>
                  <w:t>Avrupa Birli</w:t>
                </w:r>
                <w:r>
                  <w:rPr>
                    <w:rFonts w:ascii="Times New Roman" w:hAnsi="Times New Roman"/>
                    <w:sz w:val="19"/>
                  </w:rPr>
                  <w:t>ğ</w:t>
                </w:r>
                <w:r>
                  <w:rPr>
                    <w:rFonts w:ascii="メイリオ" w:hAnsi="メイリオ"/>
                    <w:sz w:val="19"/>
                  </w:rPr>
                  <w:t>i Resmi Gazetesi</w:t>
                </w:r>
              </w:p>
            </w:txbxContent>
          </v:textbox>
          <w10:wrap type="none"/>
        </v:shape>
      </w:pict>
    </w:r>
    <w:r>
      <w:rPr/>
      <w:pict>
        <v:shape style="position:absolute;margin-left:516.679993pt;margin-top:47.030624pt;width:7.3pt;height:16.25pt;mso-position-horizontal-relative:page;mso-position-vertical-relative:page;z-index:-78064" type="#_x0000_t202" filled="false" stroked="false">
          <v:textbox inset="0,0,0,0">
            <w:txbxContent>
              <w:p>
                <w:pPr>
                  <w:spacing w:line="305" w:lineRule="exact" w:before="0"/>
                  <w:ind w:left="20" w:right="0" w:firstLine="0"/>
                  <w:jc w:val="left"/>
                  <w:rPr>
                    <w:rFonts w:ascii="メイリオ"/>
                    <w:sz w:val="19"/>
                  </w:rPr>
                </w:pPr>
                <w:r>
                  <w:rPr>
                    <w:rFonts w:ascii="メイリオ"/>
                    <w:w w:val="99"/>
                    <w:sz w:val="19"/>
                  </w:rPr>
                  <w:t>L</w:t>
                </w:r>
              </w:p>
            </w:txbxContent>
          </v:textbox>
          <w10:wrap type="none"/>
        </v:shape>
      </w:pict>
    </w:r>
    <w:r>
      <w:rPr/>
      <w:pict>
        <v:shape style="position:absolute;margin-left:118.779999pt;margin-top:48.408279pt;width:13.65pt;height:14.8pt;mso-position-horizontal-relative:page;mso-position-vertical-relative:page;z-index:-78040" type="#_x0000_t202" filled="false" stroked="false">
          <v:textbox inset="0,0,0,0">
            <w:txbxContent>
              <w:p>
                <w:pPr>
                  <w:spacing w:line="275" w:lineRule="exact" w:before="0"/>
                  <w:ind w:left="20" w:right="0" w:firstLine="0"/>
                  <w:jc w:val="left"/>
                  <w:rPr>
                    <w:rFonts w:ascii="メイリオ"/>
                    <w:sz w:val="17"/>
                  </w:rPr>
                </w:pPr>
                <w:r>
                  <w:rPr>
                    <w:rFonts w:ascii="メイリオ"/>
                    <w:sz w:val="17"/>
                  </w:rPr>
                  <w:t>EN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111.89492pt;margin-top:49.9949pt;width:25.7pt;height:9.75pt;mso-position-horizontal-relative:page;mso-position-vertical-relative:page;z-index:-78016" coordorigin="2238,1000" coordsize="514,195">
          <v:line style="position:absolute" from="2244,1010" to="2244,1191" stroked="true" strokeweight=".61016pt" strokecolor="#000000">
            <v:stroke dashstyle="solid"/>
          </v:line>
          <v:line style="position:absolute" from="2239,1188" to="2750,1188" stroked="true" strokeweight=".61024pt" strokecolor="#000000">
            <v:stroke dashstyle="solid"/>
          </v:line>
          <v:shape style="position:absolute;left:2239;top:1006;width:511;height:185" coordorigin="2239,1006" coordsize="511,185" path="m2239,1006l2750,1006m2745,1010l2745,1191e" filled="false" stroked="true" strokeweight=".61016pt" strokecolor="#000000">
            <v:path arrowok="t"/>
            <v:stroke dashstyle="solid"/>
          </v:shape>
          <w10:wrap type="none"/>
        </v:group>
      </w:pict>
    </w:r>
    <w:r>
      <w:rPr/>
      <w:pict>
        <v:shape style="position:absolute;margin-left:40.520pt;margin-top:47.030624pt;width:38.15pt;height:16.25pt;mso-position-horizontal-relative:page;mso-position-vertical-relative:page;z-index:-77992" type="#_x0000_t202" filled="false" stroked="false">
          <v:textbox inset="0,0,0,0">
            <w:txbxContent>
              <w:p>
                <w:pPr>
                  <w:spacing w:line="305" w:lineRule="exact" w:before="0"/>
                  <w:ind w:left="20" w:right="0" w:firstLine="0"/>
                  <w:jc w:val="left"/>
                  <w:rPr>
                    <w:rFonts w:ascii="メイリオ"/>
                    <w:sz w:val="19"/>
                  </w:rPr>
                </w:pPr>
                <w:r>
                  <w:rPr>
                    <w:rFonts w:ascii="メイリオ"/>
                    <w:sz w:val="19"/>
                  </w:rPr>
                  <w:t>4.5.201</w:t>
                </w:r>
              </w:p>
            </w:txbxContent>
          </v:textbox>
          <w10:wrap type="none"/>
        </v:shape>
      </w:pict>
    </w:r>
    <w:r>
      <w:rPr/>
      <w:pict>
        <v:shape style="position:absolute;margin-left:222.369995pt;margin-top:47.030624pt;width:136.4pt;height:16.25pt;mso-position-horizontal-relative:page;mso-position-vertical-relative:page;z-index:-77968" type="#_x0000_t202" filled="false" stroked="false">
          <v:textbox inset="0,0,0,0">
            <w:txbxContent>
              <w:p>
                <w:pPr>
                  <w:spacing w:line="305" w:lineRule="exact" w:before="0"/>
                  <w:ind w:left="20" w:right="0" w:firstLine="0"/>
                  <w:jc w:val="left"/>
                  <w:rPr>
                    <w:rFonts w:ascii="メイリオ" w:hAnsi="メイリオ"/>
                    <w:sz w:val="19"/>
                  </w:rPr>
                </w:pPr>
                <w:r>
                  <w:rPr>
                    <w:rFonts w:ascii="メイリオ" w:hAnsi="メイリオ"/>
                    <w:sz w:val="19"/>
                  </w:rPr>
                  <w:t>Avrupa Birli</w:t>
                </w:r>
                <w:r>
                  <w:rPr>
                    <w:rFonts w:ascii="Times New Roman" w:hAnsi="Times New Roman"/>
                    <w:sz w:val="19"/>
                  </w:rPr>
                  <w:t>ğ</w:t>
                </w:r>
                <w:r>
                  <w:rPr>
                    <w:rFonts w:ascii="メイリオ" w:hAnsi="メイリオ"/>
                    <w:sz w:val="19"/>
                  </w:rPr>
                  <w:t>i Resmi Gazetesi</w:t>
                </w:r>
              </w:p>
            </w:txbxContent>
          </v:textbox>
          <w10:wrap type="none"/>
        </v:shape>
      </w:pict>
    </w:r>
    <w:r>
      <w:rPr/>
      <w:pict>
        <v:shape style="position:absolute;margin-left:516.679993pt;margin-top:47.030624pt;width:7.3pt;height:16.25pt;mso-position-horizontal-relative:page;mso-position-vertical-relative:page;z-index:-77944" type="#_x0000_t202" filled="false" stroked="false">
          <v:textbox inset="0,0,0,0">
            <w:txbxContent>
              <w:p>
                <w:pPr>
                  <w:spacing w:line="305" w:lineRule="exact" w:before="0"/>
                  <w:ind w:left="20" w:right="0" w:firstLine="0"/>
                  <w:jc w:val="left"/>
                  <w:rPr>
                    <w:rFonts w:ascii="メイリオ"/>
                    <w:sz w:val="19"/>
                  </w:rPr>
                </w:pPr>
                <w:r>
                  <w:rPr>
                    <w:rFonts w:ascii="メイリオ"/>
                    <w:w w:val="99"/>
                    <w:sz w:val="19"/>
                  </w:rPr>
                  <w:t>L</w:t>
                </w:r>
              </w:p>
            </w:txbxContent>
          </v:textbox>
          <w10:wrap type="none"/>
        </v:shape>
      </w:pict>
    </w:r>
    <w:r>
      <w:rPr/>
      <w:pict>
        <v:shape style="position:absolute;margin-left:118.779999pt;margin-top:48.408279pt;width:13.65pt;height:14.8pt;mso-position-horizontal-relative:page;mso-position-vertical-relative:page;z-index:-77920" type="#_x0000_t202" filled="false" stroked="false">
          <v:textbox inset="0,0,0,0">
            <w:txbxContent>
              <w:p>
                <w:pPr>
                  <w:spacing w:line="275" w:lineRule="exact" w:before="0"/>
                  <w:ind w:left="20" w:right="0" w:firstLine="0"/>
                  <w:jc w:val="left"/>
                  <w:rPr>
                    <w:rFonts w:ascii="メイリオ"/>
                    <w:sz w:val="17"/>
                  </w:rPr>
                </w:pPr>
                <w:r>
                  <w:rPr>
                    <w:rFonts w:ascii="メイリオ"/>
                    <w:sz w:val="17"/>
                  </w:rPr>
                  <w:t>EN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1">
    <w:multiLevelType w:val="hybridMultilevel"/>
    <w:lvl w:ilvl="0">
      <w:start w:val="1"/>
      <w:numFmt w:val="decimal"/>
      <w:lvlText w:val="%1."/>
      <w:lvlJc w:val="left"/>
      <w:pPr>
        <w:ind w:left="726" w:hanging="228"/>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28"/>
      </w:pPr>
      <w:rPr>
        <w:rFonts w:hint="default"/>
        <w:lang w:val="tr-TR" w:eastAsia="tr-TR" w:bidi="tr-TR"/>
      </w:rPr>
    </w:lvl>
    <w:lvl w:ilvl="2">
      <w:start w:val="0"/>
      <w:numFmt w:val="bullet"/>
      <w:lvlText w:val="•"/>
      <w:lvlJc w:val="left"/>
      <w:pPr>
        <w:ind w:left="2716" w:hanging="228"/>
      </w:pPr>
      <w:rPr>
        <w:rFonts w:hint="default"/>
        <w:lang w:val="tr-TR" w:eastAsia="tr-TR" w:bidi="tr-TR"/>
      </w:rPr>
    </w:lvl>
    <w:lvl w:ilvl="3">
      <w:start w:val="0"/>
      <w:numFmt w:val="bullet"/>
      <w:lvlText w:val="•"/>
      <w:lvlJc w:val="left"/>
      <w:pPr>
        <w:ind w:left="3714" w:hanging="228"/>
      </w:pPr>
      <w:rPr>
        <w:rFonts w:hint="default"/>
        <w:lang w:val="tr-TR" w:eastAsia="tr-TR" w:bidi="tr-TR"/>
      </w:rPr>
    </w:lvl>
    <w:lvl w:ilvl="4">
      <w:start w:val="0"/>
      <w:numFmt w:val="bullet"/>
      <w:lvlText w:val="•"/>
      <w:lvlJc w:val="left"/>
      <w:pPr>
        <w:ind w:left="4712" w:hanging="228"/>
      </w:pPr>
      <w:rPr>
        <w:rFonts w:hint="default"/>
        <w:lang w:val="tr-TR" w:eastAsia="tr-TR" w:bidi="tr-TR"/>
      </w:rPr>
    </w:lvl>
    <w:lvl w:ilvl="5">
      <w:start w:val="0"/>
      <w:numFmt w:val="bullet"/>
      <w:lvlText w:val="•"/>
      <w:lvlJc w:val="left"/>
      <w:pPr>
        <w:ind w:left="5710" w:hanging="228"/>
      </w:pPr>
      <w:rPr>
        <w:rFonts w:hint="default"/>
        <w:lang w:val="tr-TR" w:eastAsia="tr-TR" w:bidi="tr-TR"/>
      </w:rPr>
    </w:lvl>
    <w:lvl w:ilvl="6">
      <w:start w:val="0"/>
      <w:numFmt w:val="bullet"/>
      <w:lvlText w:val="•"/>
      <w:lvlJc w:val="left"/>
      <w:pPr>
        <w:ind w:left="6708" w:hanging="228"/>
      </w:pPr>
      <w:rPr>
        <w:rFonts w:hint="default"/>
        <w:lang w:val="tr-TR" w:eastAsia="tr-TR" w:bidi="tr-TR"/>
      </w:rPr>
    </w:lvl>
    <w:lvl w:ilvl="7">
      <w:start w:val="0"/>
      <w:numFmt w:val="bullet"/>
      <w:lvlText w:val="•"/>
      <w:lvlJc w:val="left"/>
      <w:pPr>
        <w:ind w:left="7706" w:hanging="228"/>
      </w:pPr>
      <w:rPr>
        <w:rFonts w:hint="default"/>
        <w:lang w:val="tr-TR" w:eastAsia="tr-TR" w:bidi="tr-TR"/>
      </w:rPr>
    </w:lvl>
    <w:lvl w:ilvl="8">
      <w:start w:val="0"/>
      <w:numFmt w:val="bullet"/>
      <w:lvlText w:val="•"/>
      <w:lvlJc w:val="left"/>
      <w:pPr>
        <w:ind w:left="8704" w:hanging="228"/>
      </w:pPr>
      <w:rPr>
        <w:rFonts w:hint="default"/>
        <w:lang w:val="tr-TR" w:eastAsia="tr-TR" w:bidi="tr-TR"/>
      </w:rPr>
    </w:lvl>
  </w:abstractNum>
  <w:abstractNum w:abstractNumId="152">
    <w:multiLevelType w:val="hybridMultilevel"/>
    <w:lvl w:ilvl="0">
      <w:start w:val="1"/>
      <w:numFmt w:val="decimal"/>
      <w:lvlText w:val="%1."/>
      <w:lvlJc w:val="left"/>
      <w:pPr>
        <w:ind w:left="726" w:hanging="26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60"/>
      </w:pPr>
      <w:rPr>
        <w:rFonts w:hint="default"/>
        <w:lang w:val="tr-TR" w:eastAsia="tr-TR" w:bidi="tr-TR"/>
      </w:rPr>
    </w:lvl>
    <w:lvl w:ilvl="2">
      <w:start w:val="0"/>
      <w:numFmt w:val="bullet"/>
      <w:lvlText w:val="•"/>
      <w:lvlJc w:val="left"/>
      <w:pPr>
        <w:ind w:left="2716" w:hanging="260"/>
      </w:pPr>
      <w:rPr>
        <w:rFonts w:hint="default"/>
        <w:lang w:val="tr-TR" w:eastAsia="tr-TR" w:bidi="tr-TR"/>
      </w:rPr>
    </w:lvl>
    <w:lvl w:ilvl="3">
      <w:start w:val="0"/>
      <w:numFmt w:val="bullet"/>
      <w:lvlText w:val="•"/>
      <w:lvlJc w:val="left"/>
      <w:pPr>
        <w:ind w:left="3714" w:hanging="260"/>
      </w:pPr>
      <w:rPr>
        <w:rFonts w:hint="default"/>
        <w:lang w:val="tr-TR" w:eastAsia="tr-TR" w:bidi="tr-TR"/>
      </w:rPr>
    </w:lvl>
    <w:lvl w:ilvl="4">
      <w:start w:val="0"/>
      <w:numFmt w:val="bullet"/>
      <w:lvlText w:val="•"/>
      <w:lvlJc w:val="left"/>
      <w:pPr>
        <w:ind w:left="4712" w:hanging="260"/>
      </w:pPr>
      <w:rPr>
        <w:rFonts w:hint="default"/>
        <w:lang w:val="tr-TR" w:eastAsia="tr-TR" w:bidi="tr-TR"/>
      </w:rPr>
    </w:lvl>
    <w:lvl w:ilvl="5">
      <w:start w:val="0"/>
      <w:numFmt w:val="bullet"/>
      <w:lvlText w:val="•"/>
      <w:lvlJc w:val="left"/>
      <w:pPr>
        <w:ind w:left="5710" w:hanging="260"/>
      </w:pPr>
      <w:rPr>
        <w:rFonts w:hint="default"/>
        <w:lang w:val="tr-TR" w:eastAsia="tr-TR" w:bidi="tr-TR"/>
      </w:rPr>
    </w:lvl>
    <w:lvl w:ilvl="6">
      <w:start w:val="0"/>
      <w:numFmt w:val="bullet"/>
      <w:lvlText w:val="•"/>
      <w:lvlJc w:val="left"/>
      <w:pPr>
        <w:ind w:left="6708" w:hanging="260"/>
      </w:pPr>
      <w:rPr>
        <w:rFonts w:hint="default"/>
        <w:lang w:val="tr-TR" w:eastAsia="tr-TR" w:bidi="tr-TR"/>
      </w:rPr>
    </w:lvl>
    <w:lvl w:ilvl="7">
      <w:start w:val="0"/>
      <w:numFmt w:val="bullet"/>
      <w:lvlText w:val="•"/>
      <w:lvlJc w:val="left"/>
      <w:pPr>
        <w:ind w:left="7706" w:hanging="260"/>
      </w:pPr>
      <w:rPr>
        <w:rFonts w:hint="default"/>
        <w:lang w:val="tr-TR" w:eastAsia="tr-TR" w:bidi="tr-TR"/>
      </w:rPr>
    </w:lvl>
    <w:lvl w:ilvl="8">
      <w:start w:val="0"/>
      <w:numFmt w:val="bullet"/>
      <w:lvlText w:val="•"/>
      <w:lvlJc w:val="left"/>
      <w:pPr>
        <w:ind w:left="8704" w:hanging="260"/>
      </w:pPr>
      <w:rPr>
        <w:rFonts w:hint="default"/>
        <w:lang w:val="tr-TR" w:eastAsia="tr-TR" w:bidi="tr-TR"/>
      </w:rPr>
    </w:lvl>
  </w:abstractNum>
  <w:abstractNum w:abstractNumId="151">
    <w:multiLevelType w:val="hybridMultilevel"/>
    <w:lvl w:ilvl="0">
      <w:start w:val="1"/>
      <w:numFmt w:val="lowerLetter"/>
      <w:lvlText w:val="(%1)"/>
      <w:lvlJc w:val="left"/>
      <w:pPr>
        <w:ind w:left="1022" w:hanging="324"/>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24"/>
      </w:pPr>
      <w:rPr>
        <w:rFonts w:hint="default"/>
        <w:lang w:val="tr-TR" w:eastAsia="tr-TR" w:bidi="tr-TR"/>
      </w:rPr>
    </w:lvl>
    <w:lvl w:ilvl="2">
      <w:start w:val="0"/>
      <w:numFmt w:val="bullet"/>
      <w:lvlText w:val="•"/>
      <w:lvlJc w:val="left"/>
      <w:pPr>
        <w:ind w:left="2956" w:hanging="324"/>
      </w:pPr>
      <w:rPr>
        <w:rFonts w:hint="default"/>
        <w:lang w:val="tr-TR" w:eastAsia="tr-TR" w:bidi="tr-TR"/>
      </w:rPr>
    </w:lvl>
    <w:lvl w:ilvl="3">
      <w:start w:val="0"/>
      <w:numFmt w:val="bullet"/>
      <w:lvlText w:val="•"/>
      <w:lvlJc w:val="left"/>
      <w:pPr>
        <w:ind w:left="3924" w:hanging="324"/>
      </w:pPr>
      <w:rPr>
        <w:rFonts w:hint="default"/>
        <w:lang w:val="tr-TR" w:eastAsia="tr-TR" w:bidi="tr-TR"/>
      </w:rPr>
    </w:lvl>
    <w:lvl w:ilvl="4">
      <w:start w:val="0"/>
      <w:numFmt w:val="bullet"/>
      <w:lvlText w:val="•"/>
      <w:lvlJc w:val="left"/>
      <w:pPr>
        <w:ind w:left="4892" w:hanging="324"/>
      </w:pPr>
      <w:rPr>
        <w:rFonts w:hint="default"/>
        <w:lang w:val="tr-TR" w:eastAsia="tr-TR" w:bidi="tr-TR"/>
      </w:rPr>
    </w:lvl>
    <w:lvl w:ilvl="5">
      <w:start w:val="0"/>
      <w:numFmt w:val="bullet"/>
      <w:lvlText w:val="•"/>
      <w:lvlJc w:val="left"/>
      <w:pPr>
        <w:ind w:left="5860" w:hanging="324"/>
      </w:pPr>
      <w:rPr>
        <w:rFonts w:hint="default"/>
        <w:lang w:val="tr-TR" w:eastAsia="tr-TR" w:bidi="tr-TR"/>
      </w:rPr>
    </w:lvl>
    <w:lvl w:ilvl="6">
      <w:start w:val="0"/>
      <w:numFmt w:val="bullet"/>
      <w:lvlText w:val="•"/>
      <w:lvlJc w:val="left"/>
      <w:pPr>
        <w:ind w:left="6828" w:hanging="324"/>
      </w:pPr>
      <w:rPr>
        <w:rFonts w:hint="default"/>
        <w:lang w:val="tr-TR" w:eastAsia="tr-TR" w:bidi="tr-TR"/>
      </w:rPr>
    </w:lvl>
    <w:lvl w:ilvl="7">
      <w:start w:val="0"/>
      <w:numFmt w:val="bullet"/>
      <w:lvlText w:val="•"/>
      <w:lvlJc w:val="left"/>
      <w:pPr>
        <w:ind w:left="7796" w:hanging="324"/>
      </w:pPr>
      <w:rPr>
        <w:rFonts w:hint="default"/>
        <w:lang w:val="tr-TR" w:eastAsia="tr-TR" w:bidi="tr-TR"/>
      </w:rPr>
    </w:lvl>
    <w:lvl w:ilvl="8">
      <w:start w:val="0"/>
      <w:numFmt w:val="bullet"/>
      <w:lvlText w:val="•"/>
      <w:lvlJc w:val="left"/>
      <w:pPr>
        <w:ind w:left="8764" w:hanging="324"/>
      </w:pPr>
      <w:rPr>
        <w:rFonts w:hint="default"/>
        <w:lang w:val="tr-TR" w:eastAsia="tr-TR" w:bidi="tr-TR"/>
      </w:rPr>
    </w:lvl>
  </w:abstractNum>
  <w:abstractNum w:abstractNumId="150">
    <w:multiLevelType w:val="hybridMultilevel"/>
    <w:lvl w:ilvl="0">
      <w:start w:val="1"/>
      <w:numFmt w:val="decimal"/>
      <w:lvlText w:val="%1."/>
      <w:lvlJc w:val="left"/>
      <w:pPr>
        <w:ind w:left="726" w:hanging="41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413"/>
      </w:pPr>
      <w:rPr>
        <w:rFonts w:hint="default"/>
        <w:lang w:val="tr-TR" w:eastAsia="tr-TR" w:bidi="tr-TR"/>
      </w:rPr>
    </w:lvl>
    <w:lvl w:ilvl="2">
      <w:start w:val="0"/>
      <w:numFmt w:val="bullet"/>
      <w:lvlText w:val="•"/>
      <w:lvlJc w:val="left"/>
      <w:pPr>
        <w:ind w:left="2716" w:hanging="413"/>
      </w:pPr>
      <w:rPr>
        <w:rFonts w:hint="default"/>
        <w:lang w:val="tr-TR" w:eastAsia="tr-TR" w:bidi="tr-TR"/>
      </w:rPr>
    </w:lvl>
    <w:lvl w:ilvl="3">
      <w:start w:val="0"/>
      <w:numFmt w:val="bullet"/>
      <w:lvlText w:val="•"/>
      <w:lvlJc w:val="left"/>
      <w:pPr>
        <w:ind w:left="3714" w:hanging="413"/>
      </w:pPr>
      <w:rPr>
        <w:rFonts w:hint="default"/>
        <w:lang w:val="tr-TR" w:eastAsia="tr-TR" w:bidi="tr-TR"/>
      </w:rPr>
    </w:lvl>
    <w:lvl w:ilvl="4">
      <w:start w:val="0"/>
      <w:numFmt w:val="bullet"/>
      <w:lvlText w:val="•"/>
      <w:lvlJc w:val="left"/>
      <w:pPr>
        <w:ind w:left="4712" w:hanging="413"/>
      </w:pPr>
      <w:rPr>
        <w:rFonts w:hint="default"/>
        <w:lang w:val="tr-TR" w:eastAsia="tr-TR" w:bidi="tr-TR"/>
      </w:rPr>
    </w:lvl>
    <w:lvl w:ilvl="5">
      <w:start w:val="0"/>
      <w:numFmt w:val="bullet"/>
      <w:lvlText w:val="•"/>
      <w:lvlJc w:val="left"/>
      <w:pPr>
        <w:ind w:left="5710" w:hanging="413"/>
      </w:pPr>
      <w:rPr>
        <w:rFonts w:hint="default"/>
        <w:lang w:val="tr-TR" w:eastAsia="tr-TR" w:bidi="tr-TR"/>
      </w:rPr>
    </w:lvl>
    <w:lvl w:ilvl="6">
      <w:start w:val="0"/>
      <w:numFmt w:val="bullet"/>
      <w:lvlText w:val="•"/>
      <w:lvlJc w:val="left"/>
      <w:pPr>
        <w:ind w:left="6708" w:hanging="413"/>
      </w:pPr>
      <w:rPr>
        <w:rFonts w:hint="default"/>
        <w:lang w:val="tr-TR" w:eastAsia="tr-TR" w:bidi="tr-TR"/>
      </w:rPr>
    </w:lvl>
    <w:lvl w:ilvl="7">
      <w:start w:val="0"/>
      <w:numFmt w:val="bullet"/>
      <w:lvlText w:val="•"/>
      <w:lvlJc w:val="left"/>
      <w:pPr>
        <w:ind w:left="7706" w:hanging="413"/>
      </w:pPr>
      <w:rPr>
        <w:rFonts w:hint="default"/>
        <w:lang w:val="tr-TR" w:eastAsia="tr-TR" w:bidi="tr-TR"/>
      </w:rPr>
    </w:lvl>
    <w:lvl w:ilvl="8">
      <w:start w:val="0"/>
      <w:numFmt w:val="bullet"/>
      <w:lvlText w:val="•"/>
      <w:lvlJc w:val="left"/>
      <w:pPr>
        <w:ind w:left="8704" w:hanging="413"/>
      </w:pPr>
      <w:rPr>
        <w:rFonts w:hint="default"/>
        <w:lang w:val="tr-TR" w:eastAsia="tr-TR" w:bidi="tr-TR"/>
      </w:rPr>
    </w:lvl>
  </w:abstractNum>
  <w:abstractNum w:abstractNumId="149">
    <w:multiLevelType w:val="hybridMultilevel"/>
    <w:lvl w:ilvl="0">
      <w:start w:val="1"/>
      <w:numFmt w:val="decimal"/>
      <w:lvlText w:val="%1."/>
      <w:lvlJc w:val="left"/>
      <w:pPr>
        <w:ind w:left="726" w:hanging="221"/>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21"/>
      </w:pPr>
      <w:rPr>
        <w:rFonts w:hint="default"/>
        <w:lang w:val="tr-TR" w:eastAsia="tr-TR" w:bidi="tr-TR"/>
      </w:rPr>
    </w:lvl>
    <w:lvl w:ilvl="2">
      <w:start w:val="0"/>
      <w:numFmt w:val="bullet"/>
      <w:lvlText w:val="•"/>
      <w:lvlJc w:val="left"/>
      <w:pPr>
        <w:ind w:left="2716" w:hanging="221"/>
      </w:pPr>
      <w:rPr>
        <w:rFonts w:hint="default"/>
        <w:lang w:val="tr-TR" w:eastAsia="tr-TR" w:bidi="tr-TR"/>
      </w:rPr>
    </w:lvl>
    <w:lvl w:ilvl="3">
      <w:start w:val="0"/>
      <w:numFmt w:val="bullet"/>
      <w:lvlText w:val="•"/>
      <w:lvlJc w:val="left"/>
      <w:pPr>
        <w:ind w:left="3714" w:hanging="221"/>
      </w:pPr>
      <w:rPr>
        <w:rFonts w:hint="default"/>
        <w:lang w:val="tr-TR" w:eastAsia="tr-TR" w:bidi="tr-TR"/>
      </w:rPr>
    </w:lvl>
    <w:lvl w:ilvl="4">
      <w:start w:val="0"/>
      <w:numFmt w:val="bullet"/>
      <w:lvlText w:val="•"/>
      <w:lvlJc w:val="left"/>
      <w:pPr>
        <w:ind w:left="4712" w:hanging="221"/>
      </w:pPr>
      <w:rPr>
        <w:rFonts w:hint="default"/>
        <w:lang w:val="tr-TR" w:eastAsia="tr-TR" w:bidi="tr-TR"/>
      </w:rPr>
    </w:lvl>
    <w:lvl w:ilvl="5">
      <w:start w:val="0"/>
      <w:numFmt w:val="bullet"/>
      <w:lvlText w:val="•"/>
      <w:lvlJc w:val="left"/>
      <w:pPr>
        <w:ind w:left="5710" w:hanging="221"/>
      </w:pPr>
      <w:rPr>
        <w:rFonts w:hint="default"/>
        <w:lang w:val="tr-TR" w:eastAsia="tr-TR" w:bidi="tr-TR"/>
      </w:rPr>
    </w:lvl>
    <w:lvl w:ilvl="6">
      <w:start w:val="0"/>
      <w:numFmt w:val="bullet"/>
      <w:lvlText w:val="•"/>
      <w:lvlJc w:val="left"/>
      <w:pPr>
        <w:ind w:left="6708" w:hanging="221"/>
      </w:pPr>
      <w:rPr>
        <w:rFonts w:hint="default"/>
        <w:lang w:val="tr-TR" w:eastAsia="tr-TR" w:bidi="tr-TR"/>
      </w:rPr>
    </w:lvl>
    <w:lvl w:ilvl="7">
      <w:start w:val="0"/>
      <w:numFmt w:val="bullet"/>
      <w:lvlText w:val="•"/>
      <w:lvlJc w:val="left"/>
      <w:pPr>
        <w:ind w:left="7706" w:hanging="221"/>
      </w:pPr>
      <w:rPr>
        <w:rFonts w:hint="default"/>
        <w:lang w:val="tr-TR" w:eastAsia="tr-TR" w:bidi="tr-TR"/>
      </w:rPr>
    </w:lvl>
    <w:lvl w:ilvl="8">
      <w:start w:val="0"/>
      <w:numFmt w:val="bullet"/>
      <w:lvlText w:val="•"/>
      <w:lvlJc w:val="left"/>
      <w:pPr>
        <w:ind w:left="8704" w:hanging="221"/>
      </w:pPr>
      <w:rPr>
        <w:rFonts w:hint="default"/>
        <w:lang w:val="tr-TR" w:eastAsia="tr-TR" w:bidi="tr-TR"/>
      </w:rPr>
    </w:lvl>
  </w:abstractNum>
  <w:abstractNum w:abstractNumId="148">
    <w:multiLevelType w:val="hybridMultilevel"/>
    <w:lvl w:ilvl="0">
      <w:start w:val="1"/>
      <w:numFmt w:val="decimal"/>
      <w:lvlText w:val="%1."/>
      <w:lvlJc w:val="left"/>
      <w:pPr>
        <w:ind w:left="726" w:hanging="279"/>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79"/>
      </w:pPr>
      <w:rPr>
        <w:rFonts w:hint="default"/>
        <w:lang w:val="tr-TR" w:eastAsia="tr-TR" w:bidi="tr-TR"/>
      </w:rPr>
    </w:lvl>
    <w:lvl w:ilvl="2">
      <w:start w:val="0"/>
      <w:numFmt w:val="bullet"/>
      <w:lvlText w:val="•"/>
      <w:lvlJc w:val="left"/>
      <w:pPr>
        <w:ind w:left="2716" w:hanging="279"/>
      </w:pPr>
      <w:rPr>
        <w:rFonts w:hint="default"/>
        <w:lang w:val="tr-TR" w:eastAsia="tr-TR" w:bidi="tr-TR"/>
      </w:rPr>
    </w:lvl>
    <w:lvl w:ilvl="3">
      <w:start w:val="0"/>
      <w:numFmt w:val="bullet"/>
      <w:lvlText w:val="•"/>
      <w:lvlJc w:val="left"/>
      <w:pPr>
        <w:ind w:left="3714" w:hanging="279"/>
      </w:pPr>
      <w:rPr>
        <w:rFonts w:hint="default"/>
        <w:lang w:val="tr-TR" w:eastAsia="tr-TR" w:bidi="tr-TR"/>
      </w:rPr>
    </w:lvl>
    <w:lvl w:ilvl="4">
      <w:start w:val="0"/>
      <w:numFmt w:val="bullet"/>
      <w:lvlText w:val="•"/>
      <w:lvlJc w:val="left"/>
      <w:pPr>
        <w:ind w:left="4712" w:hanging="279"/>
      </w:pPr>
      <w:rPr>
        <w:rFonts w:hint="default"/>
        <w:lang w:val="tr-TR" w:eastAsia="tr-TR" w:bidi="tr-TR"/>
      </w:rPr>
    </w:lvl>
    <w:lvl w:ilvl="5">
      <w:start w:val="0"/>
      <w:numFmt w:val="bullet"/>
      <w:lvlText w:val="•"/>
      <w:lvlJc w:val="left"/>
      <w:pPr>
        <w:ind w:left="5710" w:hanging="279"/>
      </w:pPr>
      <w:rPr>
        <w:rFonts w:hint="default"/>
        <w:lang w:val="tr-TR" w:eastAsia="tr-TR" w:bidi="tr-TR"/>
      </w:rPr>
    </w:lvl>
    <w:lvl w:ilvl="6">
      <w:start w:val="0"/>
      <w:numFmt w:val="bullet"/>
      <w:lvlText w:val="•"/>
      <w:lvlJc w:val="left"/>
      <w:pPr>
        <w:ind w:left="6708" w:hanging="279"/>
      </w:pPr>
      <w:rPr>
        <w:rFonts w:hint="default"/>
        <w:lang w:val="tr-TR" w:eastAsia="tr-TR" w:bidi="tr-TR"/>
      </w:rPr>
    </w:lvl>
    <w:lvl w:ilvl="7">
      <w:start w:val="0"/>
      <w:numFmt w:val="bullet"/>
      <w:lvlText w:val="•"/>
      <w:lvlJc w:val="left"/>
      <w:pPr>
        <w:ind w:left="7706" w:hanging="279"/>
      </w:pPr>
      <w:rPr>
        <w:rFonts w:hint="default"/>
        <w:lang w:val="tr-TR" w:eastAsia="tr-TR" w:bidi="tr-TR"/>
      </w:rPr>
    </w:lvl>
    <w:lvl w:ilvl="8">
      <w:start w:val="0"/>
      <w:numFmt w:val="bullet"/>
      <w:lvlText w:val="•"/>
      <w:lvlJc w:val="left"/>
      <w:pPr>
        <w:ind w:left="8704" w:hanging="279"/>
      </w:pPr>
      <w:rPr>
        <w:rFonts w:hint="default"/>
        <w:lang w:val="tr-TR" w:eastAsia="tr-TR" w:bidi="tr-TR"/>
      </w:rPr>
    </w:lvl>
  </w:abstractNum>
  <w:abstractNum w:abstractNumId="147">
    <w:multiLevelType w:val="hybridMultilevel"/>
    <w:lvl w:ilvl="0">
      <w:start w:val="1"/>
      <w:numFmt w:val="decimal"/>
      <w:lvlText w:val="%1."/>
      <w:lvlJc w:val="left"/>
      <w:pPr>
        <w:ind w:left="726" w:hanging="272"/>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72"/>
      </w:pPr>
      <w:rPr>
        <w:rFonts w:hint="default"/>
        <w:lang w:val="tr-TR" w:eastAsia="tr-TR" w:bidi="tr-TR"/>
      </w:rPr>
    </w:lvl>
    <w:lvl w:ilvl="2">
      <w:start w:val="0"/>
      <w:numFmt w:val="bullet"/>
      <w:lvlText w:val="•"/>
      <w:lvlJc w:val="left"/>
      <w:pPr>
        <w:ind w:left="2716" w:hanging="272"/>
      </w:pPr>
      <w:rPr>
        <w:rFonts w:hint="default"/>
        <w:lang w:val="tr-TR" w:eastAsia="tr-TR" w:bidi="tr-TR"/>
      </w:rPr>
    </w:lvl>
    <w:lvl w:ilvl="3">
      <w:start w:val="0"/>
      <w:numFmt w:val="bullet"/>
      <w:lvlText w:val="•"/>
      <w:lvlJc w:val="left"/>
      <w:pPr>
        <w:ind w:left="3714" w:hanging="272"/>
      </w:pPr>
      <w:rPr>
        <w:rFonts w:hint="default"/>
        <w:lang w:val="tr-TR" w:eastAsia="tr-TR" w:bidi="tr-TR"/>
      </w:rPr>
    </w:lvl>
    <w:lvl w:ilvl="4">
      <w:start w:val="0"/>
      <w:numFmt w:val="bullet"/>
      <w:lvlText w:val="•"/>
      <w:lvlJc w:val="left"/>
      <w:pPr>
        <w:ind w:left="4712" w:hanging="272"/>
      </w:pPr>
      <w:rPr>
        <w:rFonts w:hint="default"/>
        <w:lang w:val="tr-TR" w:eastAsia="tr-TR" w:bidi="tr-TR"/>
      </w:rPr>
    </w:lvl>
    <w:lvl w:ilvl="5">
      <w:start w:val="0"/>
      <w:numFmt w:val="bullet"/>
      <w:lvlText w:val="•"/>
      <w:lvlJc w:val="left"/>
      <w:pPr>
        <w:ind w:left="5710" w:hanging="272"/>
      </w:pPr>
      <w:rPr>
        <w:rFonts w:hint="default"/>
        <w:lang w:val="tr-TR" w:eastAsia="tr-TR" w:bidi="tr-TR"/>
      </w:rPr>
    </w:lvl>
    <w:lvl w:ilvl="6">
      <w:start w:val="0"/>
      <w:numFmt w:val="bullet"/>
      <w:lvlText w:val="•"/>
      <w:lvlJc w:val="left"/>
      <w:pPr>
        <w:ind w:left="6708" w:hanging="272"/>
      </w:pPr>
      <w:rPr>
        <w:rFonts w:hint="default"/>
        <w:lang w:val="tr-TR" w:eastAsia="tr-TR" w:bidi="tr-TR"/>
      </w:rPr>
    </w:lvl>
    <w:lvl w:ilvl="7">
      <w:start w:val="0"/>
      <w:numFmt w:val="bullet"/>
      <w:lvlText w:val="•"/>
      <w:lvlJc w:val="left"/>
      <w:pPr>
        <w:ind w:left="7706" w:hanging="272"/>
      </w:pPr>
      <w:rPr>
        <w:rFonts w:hint="default"/>
        <w:lang w:val="tr-TR" w:eastAsia="tr-TR" w:bidi="tr-TR"/>
      </w:rPr>
    </w:lvl>
    <w:lvl w:ilvl="8">
      <w:start w:val="0"/>
      <w:numFmt w:val="bullet"/>
      <w:lvlText w:val="•"/>
      <w:lvlJc w:val="left"/>
      <w:pPr>
        <w:ind w:left="8704" w:hanging="272"/>
      </w:pPr>
      <w:rPr>
        <w:rFonts w:hint="default"/>
        <w:lang w:val="tr-TR" w:eastAsia="tr-TR" w:bidi="tr-TR"/>
      </w:rPr>
    </w:lvl>
  </w:abstractNum>
  <w:abstractNum w:abstractNumId="146">
    <w:multiLevelType w:val="hybridMultilevel"/>
    <w:lvl w:ilvl="0">
      <w:start w:val="1"/>
      <w:numFmt w:val="decimal"/>
      <w:lvlText w:val="%1."/>
      <w:lvlJc w:val="left"/>
      <w:pPr>
        <w:ind w:left="726" w:hanging="36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360"/>
      </w:pPr>
      <w:rPr>
        <w:rFonts w:hint="default"/>
        <w:lang w:val="tr-TR" w:eastAsia="tr-TR" w:bidi="tr-TR"/>
      </w:rPr>
    </w:lvl>
    <w:lvl w:ilvl="2">
      <w:start w:val="0"/>
      <w:numFmt w:val="bullet"/>
      <w:lvlText w:val="•"/>
      <w:lvlJc w:val="left"/>
      <w:pPr>
        <w:ind w:left="2716" w:hanging="360"/>
      </w:pPr>
      <w:rPr>
        <w:rFonts w:hint="default"/>
        <w:lang w:val="tr-TR" w:eastAsia="tr-TR" w:bidi="tr-TR"/>
      </w:rPr>
    </w:lvl>
    <w:lvl w:ilvl="3">
      <w:start w:val="0"/>
      <w:numFmt w:val="bullet"/>
      <w:lvlText w:val="•"/>
      <w:lvlJc w:val="left"/>
      <w:pPr>
        <w:ind w:left="3714" w:hanging="360"/>
      </w:pPr>
      <w:rPr>
        <w:rFonts w:hint="default"/>
        <w:lang w:val="tr-TR" w:eastAsia="tr-TR" w:bidi="tr-TR"/>
      </w:rPr>
    </w:lvl>
    <w:lvl w:ilvl="4">
      <w:start w:val="0"/>
      <w:numFmt w:val="bullet"/>
      <w:lvlText w:val="•"/>
      <w:lvlJc w:val="left"/>
      <w:pPr>
        <w:ind w:left="4712" w:hanging="360"/>
      </w:pPr>
      <w:rPr>
        <w:rFonts w:hint="default"/>
        <w:lang w:val="tr-TR" w:eastAsia="tr-TR" w:bidi="tr-TR"/>
      </w:rPr>
    </w:lvl>
    <w:lvl w:ilvl="5">
      <w:start w:val="0"/>
      <w:numFmt w:val="bullet"/>
      <w:lvlText w:val="•"/>
      <w:lvlJc w:val="left"/>
      <w:pPr>
        <w:ind w:left="5710" w:hanging="360"/>
      </w:pPr>
      <w:rPr>
        <w:rFonts w:hint="default"/>
        <w:lang w:val="tr-TR" w:eastAsia="tr-TR" w:bidi="tr-TR"/>
      </w:rPr>
    </w:lvl>
    <w:lvl w:ilvl="6">
      <w:start w:val="0"/>
      <w:numFmt w:val="bullet"/>
      <w:lvlText w:val="•"/>
      <w:lvlJc w:val="left"/>
      <w:pPr>
        <w:ind w:left="6708" w:hanging="360"/>
      </w:pPr>
      <w:rPr>
        <w:rFonts w:hint="default"/>
        <w:lang w:val="tr-TR" w:eastAsia="tr-TR" w:bidi="tr-TR"/>
      </w:rPr>
    </w:lvl>
    <w:lvl w:ilvl="7">
      <w:start w:val="0"/>
      <w:numFmt w:val="bullet"/>
      <w:lvlText w:val="•"/>
      <w:lvlJc w:val="left"/>
      <w:pPr>
        <w:ind w:left="7706" w:hanging="360"/>
      </w:pPr>
      <w:rPr>
        <w:rFonts w:hint="default"/>
        <w:lang w:val="tr-TR" w:eastAsia="tr-TR" w:bidi="tr-TR"/>
      </w:rPr>
    </w:lvl>
    <w:lvl w:ilvl="8">
      <w:start w:val="0"/>
      <w:numFmt w:val="bullet"/>
      <w:lvlText w:val="•"/>
      <w:lvlJc w:val="left"/>
      <w:pPr>
        <w:ind w:left="8704" w:hanging="360"/>
      </w:pPr>
      <w:rPr>
        <w:rFonts w:hint="default"/>
        <w:lang w:val="tr-TR" w:eastAsia="tr-TR" w:bidi="tr-TR"/>
      </w:rPr>
    </w:lvl>
  </w:abstractNum>
  <w:abstractNum w:abstractNumId="145">
    <w:multiLevelType w:val="hybridMultilevel"/>
    <w:lvl w:ilvl="0">
      <w:start w:val="1"/>
      <w:numFmt w:val="decimal"/>
      <w:lvlText w:val="%1."/>
      <w:lvlJc w:val="left"/>
      <w:pPr>
        <w:ind w:left="726" w:hanging="41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413"/>
      </w:pPr>
      <w:rPr>
        <w:rFonts w:hint="default"/>
        <w:lang w:val="tr-TR" w:eastAsia="tr-TR" w:bidi="tr-TR"/>
      </w:rPr>
    </w:lvl>
    <w:lvl w:ilvl="2">
      <w:start w:val="0"/>
      <w:numFmt w:val="bullet"/>
      <w:lvlText w:val="•"/>
      <w:lvlJc w:val="left"/>
      <w:pPr>
        <w:ind w:left="2716" w:hanging="413"/>
      </w:pPr>
      <w:rPr>
        <w:rFonts w:hint="default"/>
        <w:lang w:val="tr-TR" w:eastAsia="tr-TR" w:bidi="tr-TR"/>
      </w:rPr>
    </w:lvl>
    <w:lvl w:ilvl="3">
      <w:start w:val="0"/>
      <w:numFmt w:val="bullet"/>
      <w:lvlText w:val="•"/>
      <w:lvlJc w:val="left"/>
      <w:pPr>
        <w:ind w:left="3714" w:hanging="413"/>
      </w:pPr>
      <w:rPr>
        <w:rFonts w:hint="default"/>
        <w:lang w:val="tr-TR" w:eastAsia="tr-TR" w:bidi="tr-TR"/>
      </w:rPr>
    </w:lvl>
    <w:lvl w:ilvl="4">
      <w:start w:val="0"/>
      <w:numFmt w:val="bullet"/>
      <w:lvlText w:val="•"/>
      <w:lvlJc w:val="left"/>
      <w:pPr>
        <w:ind w:left="4712" w:hanging="413"/>
      </w:pPr>
      <w:rPr>
        <w:rFonts w:hint="default"/>
        <w:lang w:val="tr-TR" w:eastAsia="tr-TR" w:bidi="tr-TR"/>
      </w:rPr>
    </w:lvl>
    <w:lvl w:ilvl="5">
      <w:start w:val="0"/>
      <w:numFmt w:val="bullet"/>
      <w:lvlText w:val="•"/>
      <w:lvlJc w:val="left"/>
      <w:pPr>
        <w:ind w:left="5710" w:hanging="413"/>
      </w:pPr>
      <w:rPr>
        <w:rFonts w:hint="default"/>
        <w:lang w:val="tr-TR" w:eastAsia="tr-TR" w:bidi="tr-TR"/>
      </w:rPr>
    </w:lvl>
    <w:lvl w:ilvl="6">
      <w:start w:val="0"/>
      <w:numFmt w:val="bullet"/>
      <w:lvlText w:val="•"/>
      <w:lvlJc w:val="left"/>
      <w:pPr>
        <w:ind w:left="6708" w:hanging="413"/>
      </w:pPr>
      <w:rPr>
        <w:rFonts w:hint="default"/>
        <w:lang w:val="tr-TR" w:eastAsia="tr-TR" w:bidi="tr-TR"/>
      </w:rPr>
    </w:lvl>
    <w:lvl w:ilvl="7">
      <w:start w:val="0"/>
      <w:numFmt w:val="bullet"/>
      <w:lvlText w:val="•"/>
      <w:lvlJc w:val="left"/>
      <w:pPr>
        <w:ind w:left="7706" w:hanging="413"/>
      </w:pPr>
      <w:rPr>
        <w:rFonts w:hint="default"/>
        <w:lang w:val="tr-TR" w:eastAsia="tr-TR" w:bidi="tr-TR"/>
      </w:rPr>
    </w:lvl>
    <w:lvl w:ilvl="8">
      <w:start w:val="0"/>
      <w:numFmt w:val="bullet"/>
      <w:lvlText w:val="•"/>
      <w:lvlJc w:val="left"/>
      <w:pPr>
        <w:ind w:left="8704" w:hanging="413"/>
      </w:pPr>
      <w:rPr>
        <w:rFonts w:hint="default"/>
        <w:lang w:val="tr-TR" w:eastAsia="tr-TR" w:bidi="tr-TR"/>
      </w:rPr>
    </w:lvl>
  </w:abstractNum>
  <w:abstractNum w:abstractNumId="144">
    <w:multiLevelType w:val="hybridMultilevel"/>
    <w:lvl w:ilvl="0">
      <w:start w:val="1"/>
      <w:numFmt w:val="decimal"/>
      <w:lvlText w:val="%1."/>
      <w:lvlJc w:val="left"/>
      <w:pPr>
        <w:ind w:left="726" w:hanging="41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413"/>
      </w:pPr>
      <w:rPr>
        <w:rFonts w:hint="default"/>
        <w:lang w:val="tr-TR" w:eastAsia="tr-TR" w:bidi="tr-TR"/>
      </w:rPr>
    </w:lvl>
    <w:lvl w:ilvl="2">
      <w:start w:val="0"/>
      <w:numFmt w:val="bullet"/>
      <w:lvlText w:val="•"/>
      <w:lvlJc w:val="left"/>
      <w:pPr>
        <w:ind w:left="2716" w:hanging="413"/>
      </w:pPr>
      <w:rPr>
        <w:rFonts w:hint="default"/>
        <w:lang w:val="tr-TR" w:eastAsia="tr-TR" w:bidi="tr-TR"/>
      </w:rPr>
    </w:lvl>
    <w:lvl w:ilvl="3">
      <w:start w:val="0"/>
      <w:numFmt w:val="bullet"/>
      <w:lvlText w:val="•"/>
      <w:lvlJc w:val="left"/>
      <w:pPr>
        <w:ind w:left="3714" w:hanging="413"/>
      </w:pPr>
      <w:rPr>
        <w:rFonts w:hint="default"/>
        <w:lang w:val="tr-TR" w:eastAsia="tr-TR" w:bidi="tr-TR"/>
      </w:rPr>
    </w:lvl>
    <w:lvl w:ilvl="4">
      <w:start w:val="0"/>
      <w:numFmt w:val="bullet"/>
      <w:lvlText w:val="•"/>
      <w:lvlJc w:val="left"/>
      <w:pPr>
        <w:ind w:left="4712" w:hanging="413"/>
      </w:pPr>
      <w:rPr>
        <w:rFonts w:hint="default"/>
        <w:lang w:val="tr-TR" w:eastAsia="tr-TR" w:bidi="tr-TR"/>
      </w:rPr>
    </w:lvl>
    <w:lvl w:ilvl="5">
      <w:start w:val="0"/>
      <w:numFmt w:val="bullet"/>
      <w:lvlText w:val="•"/>
      <w:lvlJc w:val="left"/>
      <w:pPr>
        <w:ind w:left="5710" w:hanging="413"/>
      </w:pPr>
      <w:rPr>
        <w:rFonts w:hint="default"/>
        <w:lang w:val="tr-TR" w:eastAsia="tr-TR" w:bidi="tr-TR"/>
      </w:rPr>
    </w:lvl>
    <w:lvl w:ilvl="6">
      <w:start w:val="0"/>
      <w:numFmt w:val="bullet"/>
      <w:lvlText w:val="•"/>
      <w:lvlJc w:val="left"/>
      <w:pPr>
        <w:ind w:left="6708" w:hanging="413"/>
      </w:pPr>
      <w:rPr>
        <w:rFonts w:hint="default"/>
        <w:lang w:val="tr-TR" w:eastAsia="tr-TR" w:bidi="tr-TR"/>
      </w:rPr>
    </w:lvl>
    <w:lvl w:ilvl="7">
      <w:start w:val="0"/>
      <w:numFmt w:val="bullet"/>
      <w:lvlText w:val="•"/>
      <w:lvlJc w:val="left"/>
      <w:pPr>
        <w:ind w:left="7706" w:hanging="413"/>
      </w:pPr>
      <w:rPr>
        <w:rFonts w:hint="default"/>
        <w:lang w:val="tr-TR" w:eastAsia="tr-TR" w:bidi="tr-TR"/>
      </w:rPr>
    </w:lvl>
    <w:lvl w:ilvl="8">
      <w:start w:val="0"/>
      <w:numFmt w:val="bullet"/>
      <w:lvlText w:val="•"/>
      <w:lvlJc w:val="left"/>
      <w:pPr>
        <w:ind w:left="8704" w:hanging="413"/>
      </w:pPr>
      <w:rPr>
        <w:rFonts w:hint="default"/>
        <w:lang w:val="tr-TR" w:eastAsia="tr-TR" w:bidi="tr-TR"/>
      </w:rPr>
    </w:lvl>
  </w:abstractNum>
  <w:abstractNum w:abstractNumId="143">
    <w:multiLevelType w:val="hybridMultilevel"/>
    <w:lvl w:ilvl="0">
      <w:start w:val="1"/>
      <w:numFmt w:val="decimal"/>
      <w:lvlText w:val="%1."/>
      <w:lvlJc w:val="left"/>
      <w:pPr>
        <w:ind w:left="726" w:hanging="26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60"/>
      </w:pPr>
      <w:rPr>
        <w:rFonts w:hint="default"/>
        <w:lang w:val="tr-TR" w:eastAsia="tr-TR" w:bidi="tr-TR"/>
      </w:rPr>
    </w:lvl>
    <w:lvl w:ilvl="2">
      <w:start w:val="0"/>
      <w:numFmt w:val="bullet"/>
      <w:lvlText w:val="•"/>
      <w:lvlJc w:val="left"/>
      <w:pPr>
        <w:ind w:left="2716" w:hanging="260"/>
      </w:pPr>
      <w:rPr>
        <w:rFonts w:hint="default"/>
        <w:lang w:val="tr-TR" w:eastAsia="tr-TR" w:bidi="tr-TR"/>
      </w:rPr>
    </w:lvl>
    <w:lvl w:ilvl="3">
      <w:start w:val="0"/>
      <w:numFmt w:val="bullet"/>
      <w:lvlText w:val="•"/>
      <w:lvlJc w:val="left"/>
      <w:pPr>
        <w:ind w:left="3714" w:hanging="260"/>
      </w:pPr>
      <w:rPr>
        <w:rFonts w:hint="default"/>
        <w:lang w:val="tr-TR" w:eastAsia="tr-TR" w:bidi="tr-TR"/>
      </w:rPr>
    </w:lvl>
    <w:lvl w:ilvl="4">
      <w:start w:val="0"/>
      <w:numFmt w:val="bullet"/>
      <w:lvlText w:val="•"/>
      <w:lvlJc w:val="left"/>
      <w:pPr>
        <w:ind w:left="4712" w:hanging="260"/>
      </w:pPr>
      <w:rPr>
        <w:rFonts w:hint="default"/>
        <w:lang w:val="tr-TR" w:eastAsia="tr-TR" w:bidi="tr-TR"/>
      </w:rPr>
    </w:lvl>
    <w:lvl w:ilvl="5">
      <w:start w:val="0"/>
      <w:numFmt w:val="bullet"/>
      <w:lvlText w:val="•"/>
      <w:lvlJc w:val="left"/>
      <w:pPr>
        <w:ind w:left="5710" w:hanging="260"/>
      </w:pPr>
      <w:rPr>
        <w:rFonts w:hint="default"/>
        <w:lang w:val="tr-TR" w:eastAsia="tr-TR" w:bidi="tr-TR"/>
      </w:rPr>
    </w:lvl>
    <w:lvl w:ilvl="6">
      <w:start w:val="0"/>
      <w:numFmt w:val="bullet"/>
      <w:lvlText w:val="•"/>
      <w:lvlJc w:val="left"/>
      <w:pPr>
        <w:ind w:left="6708" w:hanging="260"/>
      </w:pPr>
      <w:rPr>
        <w:rFonts w:hint="default"/>
        <w:lang w:val="tr-TR" w:eastAsia="tr-TR" w:bidi="tr-TR"/>
      </w:rPr>
    </w:lvl>
    <w:lvl w:ilvl="7">
      <w:start w:val="0"/>
      <w:numFmt w:val="bullet"/>
      <w:lvlText w:val="•"/>
      <w:lvlJc w:val="left"/>
      <w:pPr>
        <w:ind w:left="7706" w:hanging="260"/>
      </w:pPr>
      <w:rPr>
        <w:rFonts w:hint="default"/>
        <w:lang w:val="tr-TR" w:eastAsia="tr-TR" w:bidi="tr-TR"/>
      </w:rPr>
    </w:lvl>
    <w:lvl w:ilvl="8">
      <w:start w:val="0"/>
      <w:numFmt w:val="bullet"/>
      <w:lvlText w:val="•"/>
      <w:lvlJc w:val="left"/>
      <w:pPr>
        <w:ind w:left="8704" w:hanging="260"/>
      </w:pPr>
      <w:rPr>
        <w:rFonts w:hint="default"/>
        <w:lang w:val="tr-TR" w:eastAsia="tr-TR" w:bidi="tr-TR"/>
      </w:rPr>
    </w:lvl>
  </w:abstractNum>
  <w:abstractNum w:abstractNumId="142">
    <w:multiLevelType w:val="hybridMultilevel"/>
    <w:lvl w:ilvl="0">
      <w:start w:val="1"/>
      <w:numFmt w:val="decimal"/>
      <w:lvlText w:val="%1."/>
      <w:lvlJc w:val="left"/>
      <w:pPr>
        <w:ind w:left="726" w:hanging="41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413"/>
      </w:pPr>
      <w:rPr>
        <w:rFonts w:hint="default"/>
        <w:lang w:val="tr-TR" w:eastAsia="tr-TR" w:bidi="tr-TR"/>
      </w:rPr>
    </w:lvl>
    <w:lvl w:ilvl="2">
      <w:start w:val="0"/>
      <w:numFmt w:val="bullet"/>
      <w:lvlText w:val="•"/>
      <w:lvlJc w:val="left"/>
      <w:pPr>
        <w:ind w:left="2716" w:hanging="413"/>
      </w:pPr>
      <w:rPr>
        <w:rFonts w:hint="default"/>
        <w:lang w:val="tr-TR" w:eastAsia="tr-TR" w:bidi="tr-TR"/>
      </w:rPr>
    </w:lvl>
    <w:lvl w:ilvl="3">
      <w:start w:val="0"/>
      <w:numFmt w:val="bullet"/>
      <w:lvlText w:val="•"/>
      <w:lvlJc w:val="left"/>
      <w:pPr>
        <w:ind w:left="3714" w:hanging="413"/>
      </w:pPr>
      <w:rPr>
        <w:rFonts w:hint="default"/>
        <w:lang w:val="tr-TR" w:eastAsia="tr-TR" w:bidi="tr-TR"/>
      </w:rPr>
    </w:lvl>
    <w:lvl w:ilvl="4">
      <w:start w:val="0"/>
      <w:numFmt w:val="bullet"/>
      <w:lvlText w:val="•"/>
      <w:lvlJc w:val="left"/>
      <w:pPr>
        <w:ind w:left="4712" w:hanging="413"/>
      </w:pPr>
      <w:rPr>
        <w:rFonts w:hint="default"/>
        <w:lang w:val="tr-TR" w:eastAsia="tr-TR" w:bidi="tr-TR"/>
      </w:rPr>
    </w:lvl>
    <w:lvl w:ilvl="5">
      <w:start w:val="0"/>
      <w:numFmt w:val="bullet"/>
      <w:lvlText w:val="•"/>
      <w:lvlJc w:val="left"/>
      <w:pPr>
        <w:ind w:left="5710" w:hanging="413"/>
      </w:pPr>
      <w:rPr>
        <w:rFonts w:hint="default"/>
        <w:lang w:val="tr-TR" w:eastAsia="tr-TR" w:bidi="tr-TR"/>
      </w:rPr>
    </w:lvl>
    <w:lvl w:ilvl="6">
      <w:start w:val="0"/>
      <w:numFmt w:val="bullet"/>
      <w:lvlText w:val="•"/>
      <w:lvlJc w:val="left"/>
      <w:pPr>
        <w:ind w:left="6708" w:hanging="413"/>
      </w:pPr>
      <w:rPr>
        <w:rFonts w:hint="default"/>
        <w:lang w:val="tr-TR" w:eastAsia="tr-TR" w:bidi="tr-TR"/>
      </w:rPr>
    </w:lvl>
    <w:lvl w:ilvl="7">
      <w:start w:val="0"/>
      <w:numFmt w:val="bullet"/>
      <w:lvlText w:val="•"/>
      <w:lvlJc w:val="left"/>
      <w:pPr>
        <w:ind w:left="7706" w:hanging="413"/>
      </w:pPr>
      <w:rPr>
        <w:rFonts w:hint="default"/>
        <w:lang w:val="tr-TR" w:eastAsia="tr-TR" w:bidi="tr-TR"/>
      </w:rPr>
    </w:lvl>
    <w:lvl w:ilvl="8">
      <w:start w:val="0"/>
      <w:numFmt w:val="bullet"/>
      <w:lvlText w:val="•"/>
      <w:lvlJc w:val="left"/>
      <w:pPr>
        <w:ind w:left="8704" w:hanging="413"/>
      </w:pPr>
      <w:rPr>
        <w:rFonts w:hint="default"/>
        <w:lang w:val="tr-TR" w:eastAsia="tr-TR" w:bidi="tr-TR"/>
      </w:rPr>
    </w:lvl>
  </w:abstractNum>
  <w:abstractNum w:abstractNumId="141">
    <w:multiLevelType w:val="hybridMultilevel"/>
    <w:lvl w:ilvl="0">
      <w:start w:val="1"/>
      <w:numFmt w:val="decimal"/>
      <w:lvlText w:val="%1."/>
      <w:lvlJc w:val="left"/>
      <w:pPr>
        <w:ind w:left="726" w:hanging="41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413"/>
      </w:pPr>
      <w:rPr>
        <w:rFonts w:hint="default"/>
        <w:lang w:val="tr-TR" w:eastAsia="tr-TR" w:bidi="tr-TR"/>
      </w:rPr>
    </w:lvl>
    <w:lvl w:ilvl="2">
      <w:start w:val="0"/>
      <w:numFmt w:val="bullet"/>
      <w:lvlText w:val="•"/>
      <w:lvlJc w:val="left"/>
      <w:pPr>
        <w:ind w:left="2716" w:hanging="413"/>
      </w:pPr>
      <w:rPr>
        <w:rFonts w:hint="default"/>
        <w:lang w:val="tr-TR" w:eastAsia="tr-TR" w:bidi="tr-TR"/>
      </w:rPr>
    </w:lvl>
    <w:lvl w:ilvl="3">
      <w:start w:val="0"/>
      <w:numFmt w:val="bullet"/>
      <w:lvlText w:val="•"/>
      <w:lvlJc w:val="left"/>
      <w:pPr>
        <w:ind w:left="3714" w:hanging="413"/>
      </w:pPr>
      <w:rPr>
        <w:rFonts w:hint="default"/>
        <w:lang w:val="tr-TR" w:eastAsia="tr-TR" w:bidi="tr-TR"/>
      </w:rPr>
    </w:lvl>
    <w:lvl w:ilvl="4">
      <w:start w:val="0"/>
      <w:numFmt w:val="bullet"/>
      <w:lvlText w:val="•"/>
      <w:lvlJc w:val="left"/>
      <w:pPr>
        <w:ind w:left="4712" w:hanging="413"/>
      </w:pPr>
      <w:rPr>
        <w:rFonts w:hint="default"/>
        <w:lang w:val="tr-TR" w:eastAsia="tr-TR" w:bidi="tr-TR"/>
      </w:rPr>
    </w:lvl>
    <w:lvl w:ilvl="5">
      <w:start w:val="0"/>
      <w:numFmt w:val="bullet"/>
      <w:lvlText w:val="•"/>
      <w:lvlJc w:val="left"/>
      <w:pPr>
        <w:ind w:left="5710" w:hanging="413"/>
      </w:pPr>
      <w:rPr>
        <w:rFonts w:hint="default"/>
        <w:lang w:val="tr-TR" w:eastAsia="tr-TR" w:bidi="tr-TR"/>
      </w:rPr>
    </w:lvl>
    <w:lvl w:ilvl="6">
      <w:start w:val="0"/>
      <w:numFmt w:val="bullet"/>
      <w:lvlText w:val="•"/>
      <w:lvlJc w:val="left"/>
      <w:pPr>
        <w:ind w:left="6708" w:hanging="413"/>
      </w:pPr>
      <w:rPr>
        <w:rFonts w:hint="default"/>
        <w:lang w:val="tr-TR" w:eastAsia="tr-TR" w:bidi="tr-TR"/>
      </w:rPr>
    </w:lvl>
    <w:lvl w:ilvl="7">
      <w:start w:val="0"/>
      <w:numFmt w:val="bullet"/>
      <w:lvlText w:val="•"/>
      <w:lvlJc w:val="left"/>
      <w:pPr>
        <w:ind w:left="7706" w:hanging="413"/>
      </w:pPr>
      <w:rPr>
        <w:rFonts w:hint="default"/>
        <w:lang w:val="tr-TR" w:eastAsia="tr-TR" w:bidi="tr-TR"/>
      </w:rPr>
    </w:lvl>
    <w:lvl w:ilvl="8">
      <w:start w:val="0"/>
      <w:numFmt w:val="bullet"/>
      <w:lvlText w:val="•"/>
      <w:lvlJc w:val="left"/>
      <w:pPr>
        <w:ind w:left="8704" w:hanging="413"/>
      </w:pPr>
      <w:rPr>
        <w:rFonts w:hint="default"/>
        <w:lang w:val="tr-TR" w:eastAsia="tr-TR" w:bidi="tr-TR"/>
      </w:rPr>
    </w:lvl>
  </w:abstractNum>
  <w:abstractNum w:abstractNumId="140">
    <w:multiLevelType w:val="hybridMultilevel"/>
    <w:lvl w:ilvl="0">
      <w:start w:val="1"/>
      <w:numFmt w:val="lowerLetter"/>
      <w:lvlText w:val="(%1)"/>
      <w:lvlJc w:val="left"/>
      <w:pPr>
        <w:ind w:left="726"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300"/>
      </w:pPr>
      <w:rPr>
        <w:rFonts w:hint="default"/>
        <w:lang w:val="tr-TR" w:eastAsia="tr-TR" w:bidi="tr-TR"/>
      </w:rPr>
    </w:lvl>
    <w:lvl w:ilvl="2">
      <w:start w:val="0"/>
      <w:numFmt w:val="bullet"/>
      <w:lvlText w:val="•"/>
      <w:lvlJc w:val="left"/>
      <w:pPr>
        <w:ind w:left="2716" w:hanging="300"/>
      </w:pPr>
      <w:rPr>
        <w:rFonts w:hint="default"/>
        <w:lang w:val="tr-TR" w:eastAsia="tr-TR" w:bidi="tr-TR"/>
      </w:rPr>
    </w:lvl>
    <w:lvl w:ilvl="3">
      <w:start w:val="0"/>
      <w:numFmt w:val="bullet"/>
      <w:lvlText w:val="•"/>
      <w:lvlJc w:val="left"/>
      <w:pPr>
        <w:ind w:left="3714" w:hanging="300"/>
      </w:pPr>
      <w:rPr>
        <w:rFonts w:hint="default"/>
        <w:lang w:val="tr-TR" w:eastAsia="tr-TR" w:bidi="tr-TR"/>
      </w:rPr>
    </w:lvl>
    <w:lvl w:ilvl="4">
      <w:start w:val="0"/>
      <w:numFmt w:val="bullet"/>
      <w:lvlText w:val="•"/>
      <w:lvlJc w:val="left"/>
      <w:pPr>
        <w:ind w:left="4712" w:hanging="300"/>
      </w:pPr>
      <w:rPr>
        <w:rFonts w:hint="default"/>
        <w:lang w:val="tr-TR" w:eastAsia="tr-TR" w:bidi="tr-TR"/>
      </w:rPr>
    </w:lvl>
    <w:lvl w:ilvl="5">
      <w:start w:val="0"/>
      <w:numFmt w:val="bullet"/>
      <w:lvlText w:val="•"/>
      <w:lvlJc w:val="left"/>
      <w:pPr>
        <w:ind w:left="5710" w:hanging="300"/>
      </w:pPr>
      <w:rPr>
        <w:rFonts w:hint="default"/>
        <w:lang w:val="tr-TR" w:eastAsia="tr-TR" w:bidi="tr-TR"/>
      </w:rPr>
    </w:lvl>
    <w:lvl w:ilvl="6">
      <w:start w:val="0"/>
      <w:numFmt w:val="bullet"/>
      <w:lvlText w:val="•"/>
      <w:lvlJc w:val="left"/>
      <w:pPr>
        <w:ind w:left="6708" w:hanging="300"/>
      </w:pPr>
      <w:rPr>
        <w:rFonts w:hint="default"/>
        <w:lang w:val="tr-TR" w:eastAsia="tr-TR" w:bidi="tr-TR"/>
      </w:rPr>
    </w:lvl>
    <w:lvl w:ilvl="7">
      <w:start w:val="0"/>
      <w:numFmt w:val="bullet"/>
      <w:lvlText w:val="•"/>
      <w:lvlJc w:val="left"/>
      <w:pPr>
        <w:ind w:left="7706" w:hanging="300"/>
      </w:pPr>
      <w:rPr>
        <w:rFonts w:hint="default"/>
        <w:lang w:val="tr-TR" w:eastAsia="tr-TR" w:bidi="tr-TR"/>
      </w:rPr>
    </w:lvl>
    <w:lvl w:ilvl="8">
      <w:start w:val="0"/>
      <w:numFmt w:val="bullet"/>
      <w:lvlText w:val="•"/>
      <w:lvlJc w:val="left"/>
      <w:pPr>
        <w:ind w:left="8704" w:hanging="300"/>
      </w:pPr>
      <w:rPr>
        <w:rFonts w:hint="default"/>
        <w:lang w:val="tr-TR" w:eastAsia="tr-TR" w:bidi="tr-TR"/>
      </w:rPr>
    </w:lvl>
  </w:abstractNum>
  <w:abstractNum w:abstractNumId="139">
    <w:multiLevelType w:val="hybridMultilevel"/>
    <w:lvl w:ilvl="0">
      <w:start w:val="1"/>
      <w:numFmt w:val="lowerLetter"/>
      <w:lvlText w:val="(%1)"/>
      <w:lvlJc w:val="left"/>
      <w:pPr>
        <w:ind w:left="1026"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138">
    <w:multiLevelType w:val="hybridMultilevel"/>
    <w:lvl w:ilvl="0">
      <w:start w:val="1"/>
      <w:numFmt w:val="lowerLetter"/>
      <w:lvlText w:val="(%1)"/>
      <w:lvlJc w:val="left"/>
      <w:pPr>
        <w:ind w:left="1024"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137">
    <w:multiLevelType w:val="hybridMultilevel"/>
    <w:lvl w:ilvl="0">
      <w:start w:val="1"/>
      <w:numFmt w:val="decimal"/>
      <w:lvlText w:val="%1."/>
      <w:lvlJc w:val="left"/>
      <w:pPr>
        <w:ind w:left="726" w:hanging="41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413"/>
      </w:pPr>
      <w:rPr>
        <w:rFonts w:hint="default"/>
        <w:lang w:val="tr-TR" w:eastAsia="tr-TR" w:bidi="tr-TR"/>
      </w:rPr>
    </w:lvl>
    <w:lvl w:ilvl="2">
      <w:start w:val="0"/>
      <w:numFmt w:val="bullet"/>
      <w:lvlText w:val="•"/>
      <w:lvlJc w:val="left"/>
      <w:pPr>
        <w:ind w:left="2716" w:hanging="413"/>
      </w:pPr>
      <w:rPr>
        <w:rFonts w:hint="default"/>
        <w:lang w:val="tr-TR" w:eastAsia="tr-TR" w:bidi="tr-TR"/>
      </w:rPr>
    </w:lvl>
    <w:lvl w:ilvl="3">
      <w:start w:val="0"/>
      <w:numFmt w:val="bullet"/>
      <w:lvlText w:val="•"/>
      <w:lvlJc w:val="left"/>
      <w:pPr>
        <w:ind w:left="3714" w:hanging="413"/>
      </w:pPr>
      <w:rPr>
        <w:rFonts w:hint="default"/>
        <w:lang w:val="tr-TR" w:eastAsia="tr-TR" w:bidi="tr-TR"/>
      </w:rPr>
    </w:lvl>
    <w:lvl w:ilvl="4">
      <w:start w:val="0"/>
      <w:numFmt w:val="bullet"/>
      <w:lvlText w:val="•"/>
      <w:lvlJc w:val="left"/>
      <w:pPr>
        <w:ind w:left="4712" w:hanging="413"/>
      </w:pPr>
      <w:rPr>
        <w:rFonts w:hint="default"/>
        <w:lang w:val="tr-TR" w:eastAsia="tr-TR" w:bidi="tr-TR"/>
      </w:rPr>
    </w:lvl>
    <w:lvl w:ilvl="5">
      <w:start w:val="0"/>
      <w:numFmt w:val="bullet"/>
      <w:lvlText w:val="•"/>
      <w:lvlJc w:val="left"/>
      <w:pPr>
        <w:ind w:left="5710" w:hanging="413"/>
      </w:pPr>
      <w:rPr>
        <w:rFonts w:hint="default"/>
        <w:lang w:val="tr-TR" w:eastAsia="tr-TR" w:bidi="tr-TR"/>
      </w:rPr>
    </w:lvl>
    <w:lvl w:ilvl="6">
      <w:start w:val="0"/>
      <w:numFmt w:val="bullet"/>
      <w:lvlText w:val="•"/>
      <w:lvlJc w:val="left"/>
      <w:pPr>
        <w:ind w:left="6708" w:hanging="413"/>
      </w:pPr>
      <w:rPr>
        <w:rFonts w:hint="default"/>
        <w:lang w:val="tr-TR" w:eastAsia="tr-TR" w:bidi="tr-TR"/>
      </w:rPr>
    </w:lvl>
    <w:lvl w:ilvl="7">
      <w:start w:val="0"/>
      <w:numFmt w:val="bullet"/>
      <w:lvlText w:val="•"/>
      <w:lvlJc w:val="left"/>
      <w:pPr>
        <w:ind w:left="7706" w:hanging="413"/>
      </w:pPr>
      <w:rPr>
        <w:rFonts w:hint="default"/>
        <w:lang w:val="tr-TR" w:eastAsia="tr-TR" w:bidi="tr-TR"/>
      </w:rPr>
    </w:lvl>
    <w:lvl w:ilvl="8">
      <w:start w:val="0"/>
      <w:numFmt w:val="bullet"/>
      <w:lvlText w:val="•"/>
      <w:lvlJc w:val="left"/>
      <w:pPr>
        <w:ind w:left="8704" w:hanging="413"/>
      </w:pPr>
      <w:rPr>
        <w:rFonts w:hint="default"/>
        <w:lang w:val="tr-TR" w:eastAsia="tr-TR" w:bidi="tr-TR"/>
      </w:rPr>
    </w:lvl>
  </w:abstractNum>
  <w:abstractNum w:abstractNumId="136">
    <w:multiLevelType w:val="hybridMultilevel"/>
    <w:lvl w:ilvl="0">
      <w:start w:val="1"/>
      <w:numFmt w:val="decimal"/>
      <w:lvlText w:val="%1."/>
      <w:lvlJc w:val="left"/>
      <w:pPr>
        <w:ind w:left="726" w:hanging="41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413"/>
      </w:pPr>
      <w:rPr>
        <w:rFonts w:hint="default"/>
        <w:lang w:val="tr-TR" w:eastAsia="tr-TR" w:bidi="tr-TR"/>
      </w:rPr>
    </w:lvl>
    <w:lvl w:ilvl="2">
      <w:start w:val="0"/>
      <w:numFmt w:val="bullet"/>
      <w:lvlText w:val="•"/>
      <w:lvlJc w:val="left"/>
      <w:pPr>
        <w:ind w:left="2716" w:hanging="413"/>
      </w:pPr>
      <w:rPr>
        <w:rFonts w:hint="default"/>
        <w:lang w:val="tr-TR" w:eastAsia="tr-TR" w:bidi="tr-TR"/>
      </w:rPr>
    </w:lvl>
    <w:lvl w:ilvl="3">
      <w:start w:val="0"/>
      <w:numFmt w:val="bullet"/>
      <w:lvlText w:val="•"/>
      <w:lvlJc w:val="left"/>
      <w:pPr>
        <w:ind w:left="3714" w:hanging="413"/>
      </w:pPr>
      <w:rPr>
        <w:rFonts w:hint="default"/>
        <w:lang w:val="tr-TR" w:eastAsia="tr-TR" w:bidi="tr-TR"/>
      </w:rPr>
    </w:lvl>
    <w:lvl w:ilvl="4">
      <w:start w:val="0"/>
      <w:numFmt w:val="bullet"/>
      <w:lvlText w:val="•"/>
      <w:lvlJc w:val="left"/>
      <w:pPr>
        <w:ind w:left="4712" w:hanging="413"/>
      </w:pPr>
      <w:rPr>
        <w:rFonts w:hint="default"/>
        <w:lang w:val="tr-TR" w:eastAsia="tr-TR" w:bidi="tr-TR"/>
      </w:rPr>
    </w:lvl>
    <w:lvl w:ilvl="5">
      <w:start w:val="0"/>
      <w:numFmt w:val="bullet"/>
      <w:lvlText w:val="•"/>
      <w:lvlJc w:val="left"/>
      <w:pPr>
        <w:ind w:left="5710" w:hanging="413"/>
      </w:pPr>
      <w:rPr>
        <w:rFonts w:hint="default"/>
        <w:lang w:val="tr-TR" w:eastAsia="tr-TR" w:bidi="tr-TR"/>
      </w:rPr>
    </w:lvl>
    <w:lvl w:ilvl="6">
      <w:start w:val="0"/>
      <w:numFmt w:val="bullet"/>
      <w:lvlText w:val="•"/>
      <w:lvlJc w:val="left"/>
      <w:pPr>
        <w:ind w:left="6708" w:hanging="413"/>
      </w:pPr>
      <w:rPr>
        <w:rFonts w:hint="default"/>
        <w:lang w:val="tr-TR" w:eastAsia="tr-TR" w:bidi="tr-TR"/>
      </w:rPr>
    </w:lvl>
    <w:lvl w:ilvl="7">
      <w:start w:val="0"/>
      <w:numFmt w:val="bullet"/>
      <w:lvlText w:val="•"/>
      <w:lvlJc w:val="left"/>
      <w:pPr>
        <w:ind w:left="7706" w:hanging="413"/>
      </w:pPr>
      <w:rPr>
        <w:rFonts w:hint="default"/>
        <w:lang w:val="tr-TR" w:eastAsia="tr-TR" w:bidi="tr-TR"/>
      </w:rPr>
    </w:lvl>
    <w:lvl w:ilvl="8">
      <w:start w:val="0"/>
      <w:numFmt w:val="bullet"/>
      <w:lvlText w:val="•"/>
      <w:lvlJc w:val="left"/>
      <w:pPr>
        <w:ind w:left="8704" w:hanging="413"/>
      </w:pPr>
      <w:rPr>
        <w:rFonts w:hint="default"/>
        <w:lang w:val="tr-TR" w:eastAsia="tr-TR" w:bidi="tr-TR"/>
      </w:rPr>
    </w:lvl>
  </w:abstractNum>
  <w:abstractNum w:abstractNumId="135">
    <w:multiLevelType w:val="hybridMultilevel"/>
    <w:lvl w:ilvl="0">
      <w:start w:val="1"/>
      <w:numFmt w:val="decimal"/>
      <w:lvlText w:val="%1."/>
      <w:lvlJc w:val="left"/>
      <w:pPr>
        <w:ind w:left="726" w:hanging="23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33"/>
      </w:pPr>
      <w:rPr>
        <w:rFonts w:hint="default"/>
        <w:lang w:val="tr-TR" w:eastAsia="tr-TR" w:bidi="tr-TR"/>
      </w:rPr>
    </w:lvl>
    <w:lvl w:ilvl="2">
      <w:start w:val="0"/>
      <w:numFmt w:val="bullet"/>
      <w:lvlText w:val="•"/>
      <w:lvlJc w:val="left"/>
      <w:pPr>
        <w:ind w:left="2716" w:hanging="233"/>
      </w:pPr>
      <w:rPr>
        <w:rFonts w:hint="default"/>
        <w:lang w:val="tr-TR" w:eastAsia="tr-TR" w:bidi="tr-TR"/>
      </w:rPr>
    </w:lvl>
    <w:lvl w:ilvl="3">
      <w:start w:val="0"/>
      <w:numFmt w:val="bullet"/>
      <w:lvlText w:val="•"/>
      <w:lvlJc w:val="left"/>
      <w:pPr>
        <w:ind w:left="3714" w:hanging="233"/>
      </w:pPr>
      <w:rPr>
        <w:rFonts w:hint="default"/>
        <w:lang w:val="tr-TR" w:eastAsia="tr-TR" w:bidi="tr-TR"/>
      </w:rPr>
    </w:lvl>
    <w:lvl w:ilvl="4">
      <w:start w:val="0"/>
      <w:numFmt w:val="bullet"/>
      <w:lvlText w:val="•"/>
      <w:lvlJc w:val="left"/>
      <w:pPr>
        <w:ind w:left="4712" w:hanging="233"/>
      </w:pPr>
      <w:rPr>
        <w:rFonts w:hint="default"/>
        <w:lang w:val="tr-TR" w:eastAsia="tr-TR" w:bidi="tr-TR"/>
      </w:rPr>
    </w:lvl>
    <w:lvl w:ilvl="5">
      <w:start w:val="0"/>
      <w:numFmt w:val="bullet"/>
      <w:lvlText w:val="•"/>
      <w:lvlJc w:val="left"/>
      <w:pPr>
        <w:ind w:left="5710" w:hanging="233"/>
      </w:pPr>
      <w:rPr>
        <w:rFonts w:hint="default"/>
        <w:lang w:val="tr-TR" w:eastAsia="tr-TR" w:bidi="tr-TR"/>
      </w:rPr>
    </w:lvl>
    <w:lvl w:ilvl="6">
      <w:start w:val="0"/>
      <w:numFmt w:val="bullet"/>
      <w:lvlText w:val="•"/>
      <w:lvlJc w:val="left"/>
      <w:pPr>
        <w:ind w:left="6708" w:hanging="233"/>
      </w:pPr>
      <w:rPr>
        <w:rFonts w:hint="default"/>
        <w:lang w:val="tr-TR" w:eastAsia="tr-TR" w:bidi="tr-TR"/>
      </w:rPr>
    </w:lvl>
    <w:lvl w:ilvl="7">
      <w:start w:val="0"/>
      <w:numFmt w:val="bullet"/>
      <w:lvlText w:val="•"/>
      <w:lvlJc w:val="left"/>
      <w:pPr>
        <w:ind w:left="7706" w:hanging="233"/>
      </w:pPr>
      <w:rPr>
        <w:rFonts w:hint="default"/>
        <w:lang w:val="tr-TR" w:eastAsia="tr-TR" w:bidi="tr-TR"/>
      </w:rPr>
    </w:lvl>
    <w:lvl w:ilvl="8">
      <w:start w:val="0"/>
      <w:numFmt w:val="bullet"/>
      <w:lvlText w:val="•"/>
      <w:lvlJc w:val="left"/>
      <w:pPr>
        <w:ind w:left="8704" w:hanging="233"/>
      </w:pPr>
      <w:rPr>
        <w:rFonts w:hint="default"/>
        <w:lang w:val="tr-TR" w:eastAsia="tr-TR" w:bidi="tr-TR"/>
      </w:rPr>
    </w:lvl>
  </w:abstractNum>
  <w:abstractNum w:abstractNumId="134">
    <w:multiLevelType w:val="hybridMultilevel"/>
    <w:lvl w:ilvl="0">
      <w:start w:val="1"/>
      <w:numFmt w:val="decimal"/>
      <w:lvlText w:val="%1."/>
      <w:lvlJc w:val="left"/>
      <w:pPr>
        <w:ind w:left="726" w:hanging="23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33"/>
      </w:pPr>
      <w:rPr>
        <w:rFonts w:hint="default"/>
        <w:lang w:val="tr-TR" w:eastAsia="tr-TR" w:bidi="tr-TR"/>
      </w:rPr>
    </w:lvl>
    <w:lvl w:ilvl="2">
      <w:start w:val="0"/>
      <w:numFmt w:val="bullet"/>
      <w:lvlText w:val="•"/>
      <w:lvlJc w:val="left"/>
      <w:pPr>
        <w:ind w:left="2716" w:hanging="233"/>
      </w:pPr>
      <w:rPr>
        <w:rFonts w:hint="default"/>
        <w:lang w:val="tr-TR" w:eastAsia="tr-TR" w:bidi="tr-TR"/>
      </w:rPr>
    </w:lvl>
    <w:lvl w:ilvl="3">
      <w:start w:val="0"/>
      <w:numFmt w:val="bullet"/>
      <w:lvlText w:val="•"/>
      <w:lvlJc w:val="left"/>
      <w:pPr>
        <w:ind w:left="3714" w:hanging="233"/>
      </w:pPr>
      <w:rPr>
        <w:rFonts w:hint="default"/>
        <w:lang w:val="tr-TR" w:eastAsia="tr-TR" w:bidi="tr-TR"/>
      </w:rPr>
    </w:lvl>
    <w:lvl w:ilvl="4">
      <w:start w:val="0"/>
      <w:numFmt w:val="bullet"/>
      <w:lvlText w:val="•"/>
      <w:lvlJc w:val="left"/>
      <w:pPr>
        <w:ind w:left="4712" w:hanging="233"/>
      </w:pPr>
      <w:rPr>
        <w:rFonts w:hint="default"/>
        <w:lang w:val="tr-TR" w:eastAsia="tr-TR" w:bidi="tr-TR"/>
      </w:rPr>
    </w:lvl>
    <w:lvl w:ilvl="5">
      <w:start w:val="0"/>
      <w:numFmt w:val="bullet"/>
      <w:lvlText w:val="•"/>
      <w:lvlJc w:val="left"/>
      <w:pPr>
        <w:ind w:left="5710" w:hanging="233"/>
      </w:pPr>
      <w:rPr>
        <w:rFonts w:hint="default"/>
        <w:lang w:val="tr-TR" w:eastAsia="tr-TR" w:bidi="tr-TR"/>
      </w:rPr>
    </w:lvl>
    <w:lvl w:ilvl="6">
      <w:start w:val="0"/>
      <w:numFmt w:val="bullet"/>
      <w:lvlText w:val="•"/>
      <w:lvlJc w:val="left"/>
      <w:pPr>
        <w:ind w:left="6708" w:hanging="233"/>
      </w:pPr>
      <w:rPr>
        <w:rFonts w:hint="default"/>
        <w:lang w:val="tr-TR" w:eastAsia="tr-TR" w:bidi="tr-TR"/>
      </w:rPr>
    </w:lvl>
    <w:lvl w:ilvl="7">
      <w:start w:val="0"/>
      <w:numFmt w:val="bullet"/>
      <w:lvlText w:val="•"/>
      <w:lvlJc w:val="left"/>
      <w:pPr>
        <w:ind w:left="7706" w:hanging="233"/>
      </w:pPr>
      <w:rPr>
        <w:rFonts w:hint="default"/>
        <w:lang w:val="tr-TR" w:eastAsia="tr-TR" w:bidi="tr-TR"/>
      </w:rPr>
    </w:lvl>
    <w:lvl w:ilvl="8">
      <w:start w:val="0"/>
      <w:numFmt w:val="bullet"/>
      <w:lvlText w:val="•"/>
      <w:lvlJc w:val="left"/>
      <w:pPr>
        <w:ind w:left="8704" w:hanging="233"/>
      </w:pPr>
      <w:rPr>
        <w:rFonts w:hint="default"/>
        <w:lang w:val="tr-TR" w:eastAsia="tr-TR" w:bidi="tr-TR"/>
      </w:rPr>
    </w:lvl>
  </w:abstractNum>
  <w:abstractNum w:abstractNumId="133">
    <w:multiLevelType w:val="hybridMultilevel"/>
    <w:lvl w:ilvl="0">
      <w:start w:val="1"/>
      <w:numFmt w:val="decimal"/>
      <w:lvlText w:val="%1."/>
      <w:lvlJc w:val="left"/>
      <w:pPr>
        <w:ind w:left="726" w:hanging="248"/>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48"/>
      </w:pPr>
      <w:rPr>
        <w:rFonts w:hint="default"/>
        <w:lang w:val="tr-TR" w:eastAsia="tr-TR" w:bidi="tr-TR"/>
      </w:rPr>
    </w:lvl>
    <w:lvl w:ilvl="2">
      <w:start w:val="0"/>
      <w:numFmt w:val="bullet"/>
      <w:lvlText w:val="•"/>
      <w:lvlJc w:val="left"/>
      <w:pPr>
        <w:ind w:left="2716" w:hanging="248"/>
      </w:pPr>
      <w:rPr>
        <w:rFonts w:hint="default"/>
        <w:lang w:val="tr-TR" w:eastAsia="tr-TR" w:bidi="tr-TR"/>
      </w:rPr>
    </w:lvl>
    <w:lvl w:ilvl="3">
      <w:start w:val="0"/>
      <w:numFmt w:val="bullet"/>
      <w:lvlText w:val="•"/>
      <w:lvlJc w:val="left"/>
      <w:pPr>
        <w:ind w:left="3714" w:hanging="248"/>
      </w:pPr>
      <w:rPr>
        <w:rFonts w:hint="default"/>
        <w:lang w:val="tr-TR" w:eastAsia="tr-TR" w:bidi="tr-TR"/>
      </w:rPr>
    </w:lvl>
    <w:lvl w:ilvl="4">
      <w:start w:val="0"/>
      <w:numFmt w:val="bullet"/>
      <w:lvlText w:val="•"/>
      <w:lvlJc w:val="left"/>
      <w:pPr>
        <w:ind w:left="4712" w:hanging="248"/>
      </w:pPr>
      <w:rPr>
        <w:rFonts w:hint="default"/>
        <w:lang w:val="tr-TR" w:eastAsia="tr-TR" w:bidi="tr-TR"/>
      </w:rPr>
    </w:lvl>
    <w:lvl w:ilvl="5">
      <w:start w:val="0"/>
      <w:numFmt w:val="bullet"/>
      <w:lvlText w:val="•"/>
      <w:lvlJc w:val="left"/>
      <w:pPr>
        <w:ind w:left="5710" w:hanging="248"/>
      </w:pPr>
      <w:rPr>
        <w:rFonts w:hint="default"/>
        <w:lang w:val="tr-TR" w:eastAsia="tr-TR" w:bidi="tr-TR"/>
      </w:rPr>
    </w:lvl>
    <w:lvl w:ilvl="6">
      <w:start w:val="0"/>
      <w:numFmt w:val="bullet"/>
      <w:lvlText w:val="•"/>
      <w:lvlJc w:val="left"/>
      <w:pPr>
        <w:ind w:left="6708" w:hanging="248"/>
      </w:pPr>
      <w:rPr>
        <w:rFonts w:hint="default"/>
        <w:lang w:val="tr-TR" w:eastAsia="tr-TR" w:bidi="tr-TR"/>
      </w:rPr>
    </w:lvl>
    <w:lvl w:ilvl="7">
      <w:start w:val="0"/>
      <w:numFmt w:val="bullet"/>
      <w:lvlText w:val="•"/>
      <w:lvlJc w:val="left"/>
      <w:pPr>
        <w:ind w:left="7706" w:hanging="248"/>
      </w:pPr>
      <w:rPr>
        <w:rFonts w:hint="default"/>
        <w:lang w:val="tr-TR" w:eastAsia="tr-TR" w:bidi="tr-TR"/>
      </w:rPr>
    </w:lvl>
    <w:lvl w:ilvl="8">
      <w:start w:val="0"/>
      <w:numFmt w:val="bullet"/>
      <w:lvlText w:val="•"/>
      <w:lvlJc w:val="left"/>
      <w:pPr>
        <w:ind w:left="8704" w:hanging="248"/>
      </w:pPr>
      <w:rPr>
        <w:rFonts w:hint="default"/>
        <w:lang w:val="tr-TR" w:eastAsia="tr-TR" w:bidi="tr-TR"/>
      </w:rPr>
    </w:lvl>
  </w:abstractNum>
  <w:abstractNum w:abstractNumId="132">
    <w:multiLevelType w:val="hybridMultilevel"/>
    <w:lvl w:ilvl="0">
      <w:start w:val="1"/>
      <w:numFmt w:val="decimal"/>
      <w:lvlText w:val="%1."/>
      <w:lvlJc w:val="left"/>
      <w:pPr>
        <w:ind w:left="726" w:hanging="245"/>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45"/>
      </w:pPr>
      <w:rPr>
        <w:rFonts w:hint="default"/>
        <w:lang w:val="tr-TR" w:eastAsia="tr-TR" w:bidi="tr-TR"/>
      </w:rPr>
    </w:lvl>
    <w:lvl w:ilvl="2">
      <w:start w:val="0"/>
      <w:numFmt w:val="bullet"/>
      <w:lvlText w:val="•"/>
      <w:lvlJc w:val="left"/>
      <w:pPr>
        <w:ind w:left="2716" w:hanging="245"/>
      </w:pPr>
      <w:rPr>
        <w:rFonts w:hint="default"/>
        <w:lang w:val="tr-TR" w:eastAsia="tr-TR" w:bidi="tr-TR"/>
      </w:rPr>
    </w:lvl>
    <w:lvl w:ilvl="3">
      <w:start w:val="0"/>
      <w:numFmt w:val="bullet"/>
      <w:lvlText w:val="•"/>
      <w:lvlJc w:val="left"/>
      <w:pPr>
        <w:ind w:left="3714" w:hanging="245"/>
      </w:pPr>
      <w:rPr>
        <w:rFonts w:hint="default"/>
        <w:lang w:val="tr-TR" w:eastAsia="tr-TR" w:bidi="tr-TR"/>
      </w:rPr>
    </w:lvl>
    <w:lvl w:ilvl="4">
      <w:start w:val="0"/>
      <w:numFmt w:val="bullet"/>
      <w:lvlText w:val="•"/>
      <w:lvlJc w:val="left"/>
      <w:pPr>
        <w:ind w:left="4712" w:hanging="245"/>
      </w:pPr>
      <w:rPr>
        <w:rFonts w:hint="default"/>
        <w:lang w:val="tr-TR" w:eastAsia="tr-TR" w:bidi="tr-TR"/>
      </w:rPr>
    </w:lvl>
    <w:lvl w:ilvl="5">
      <w:start w:val="0"/>
      <w:numFmt w:val="bullet"/>
      <w:lvlText w:val="•"/>
      <w:lvlJc w:val="left"/>
      <w:pPr>
        <w:ind w:left="5710" w:hanging="245"/>
      </w:pPr>
      <w:rPr>
        <w:rFonts w:hint="default"/>
        <w:lang w:val="tr-TR" w:eastAsia="tr-TR" w:bidi="tr-TR"/>
      </w:rPr>
    </w:lvl>
    <w:lvl w:ilvl="6">
      <w:start w:val="0"/>
      <w:numFmt w:val="bullet"/>
      <w:lvlText w:val="•"/>
      <w:lvlJc w:val="left"/>
      <w:pPr>
        <w:ind w:left="6708" w:hanging="245"/>
      </w:pPr>
      <w:rPr>
        <w:rFonts w:hint="default"/>
        <w:lang w:val="tr-TR" w:eastAsia="tr-TR" w:bidi="tr-TR"/>
      </w:rPr>
    </w:lvl>
    <w:lvl w:ilvl="7">
      <w:start w:val="0"/>
      <w:numFmt w:val="bullet"/>
      <w:lvlText w:val="•"/>
      <w:lvlJc w:val="left"/>
      <w:pPr>
        <w:ind w:left="7706" w:hanging="245"/>
      </w:pPr>
      <w:rPr>
        <w:rFonts w:hint="default"/>
        <w:lang w:val="tr-TR" w:eastAsia="tr-TR" w:bidi="tr-TR"/>
      </w:rPr>
    </w:lvl>
    <w:lvl w:ilvl="8">
      <w:start w:val="0"/>
      <w:numFmt w:val="bullet"/>
      <w:lvlText w:val="•"/>
      <w:lvlJc w:val="left"/>
      <w:pPr>
        <w:ind w:left="8704" w:hanging="245"/>
      </w:pPr>
      <w:rPr>
        <w:rFonts w:hint="default"/>
        <w:lang w:val="tr-TR" w:eastAsia="tr-TR" w:bidi="tr-TR"/>
      </w:rPr>
    </w:lvl>
  </w:abstractNum>
  <w:abstractNum w:abstractNumId="130">
    <w:multiLevelType w:val="hybridMultilevel"/>
    <w:lvl w:ilvl="0">
      <w:start w:val="1"/>
      <w:numFmt w:val="decimal"/>
      <w:lvlText w:val="%1."/>
      <w:lvlJc w:val="left"/>
      <w:pPr>
        <w:ind w:left="726" w:hanging="41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413"/>
      </w:pPr>
      <w:rPr>
        <w:rFonts w:hint="default"/>
        <w:lang w:val="tr-TR" w:eastAsia="tr-TR" w:bidi="tr-TR"/>
      </w:rPr>
    </w:lvl>
    <w:lvl w:ilvl="2">
      <w:start w:val="0"/>
      <w:numFmt w:val="bullet"/>
      <w:lvlText w:val="•"/>
      <w:lvlJc w:val="left"/>
      <w:pPr>
        <w:ind w:left="2716" w:hanging="413"/>
      </w:pPr>
      <w:rPr>
        <w:rFonts w:hint="default"/>
        <w:lang w:val="tr-TR" w:eastAsia="tr-TR" w:bidi="tr-TR"/>
      </w:rPr>
    </w:lvl>
    <w:lvl w:ilvl="3">
      <w:start w:val="0"/>
      <w:numFmt w:val="bullet"/>
      <w:lvlText w:val="•"/>
      <w:lvlJc w:val="left"/>
      <w:pPr>
        <w:ind w:left="3714" w:hanging="413"/>
      </w:pPr>
      <w:rPr>
        <w:rFonts w:hint="default"/>
        <w:lang w:val="tr-TR" w:eastAsia="tr-TR" w:bidi="tr-TR"/>
      </w:rPr>
    </w:lvl>
    <w:lvl w:ilvl="4">
      <w:start w:val="0"/>
      <w:numFmt w:val="bullet"/>
      <w:lvlText w:val="•"/>
      <w:lvlJc w:val="left"/>
      <w:pPr>
        <w:ind w:left="4712" w:hanging="413"/>
      </w:pPr>
      <w:rPr>
        <w:rFonts w:hint="default"/>
        <w:lang w:val="tr-TR" w:eastAsia="tr-TR" w:bidi="tr-TR"/>
      </w:rPr>
    </w:lvl>
    <w:lvl w:ilvl="5">
      <w:start w:val="0"/>
      <w:numFmt w:val="bullet"/>
      <w:lvlText w:val="•"/>
      <w:lvlJc w:val="left"/>
      <w:pPr>
        <w:ind w:left="5710" w:hanging="413"/>
      </w:pPr>
      <w:rPr>
        <w:rFonts w:hint="default"/>
        <w:lang w:val="tr-TR" w:eastAsia="tr-TR" w:bidi="tr-TR"/>
      </w:rPr>
    </w:lvl>
    <w:lvl w:ilvl="6">
      <w:start w:val="0"/>
      <w:numFmt w:val="bullet"/>
      <w:lvlText w:val="•"/>
      <w:lvlJc w:val="left"/>
      <w:pPr>
        <w:ind w:left="6708" w:hanging="413"/>
      </w:pPr>
      <w:rPr>
        <w:rFonts w:hint="default"/>
        <w:lang w:val="tr-TR" w:eastAsia="tr-TR" w:bidi="tr-TR"/>
      </w:rPr>
    </w:lvl>
    <w:lvl w:ilvl="7">
      <w:start w:val="0"/>
      <w:numFmt w:val="bullet"/>
      <w:lvlText w:val="•"/>
      <w:lvlJc w:val="left"/>
      <w:pPr>
        <w:ind w:left="7706" w:hanging="413"/>
      </w:pPr>
      <w:rPr>
        <w:rFonts w:hint="default"/>
        <w:lang w:val="tr-TR" w:eastAsia="tr-TR" w:bidi="tr-TR"/>
      </w:rPr>
    </w:lvl>
    <w:lvl w:ilvl="8">
      <w:start w:val="0"/>
      <w:numFmt w:val="bullet"/>
      <w:lvlText w:val="•"/>
      <w:lvlJc w:val="left"/>
      <w:pPr>
        <w:ind w:left="8704" w:hanging="413"/>
      </w:pPr>
      <w:rPr>
        <w:rFonts w:hint="default"/>
        <w:lang w:val="tr-TR" w:eastAsia="tr-TR" w:bidi="tr-TR"/>
      </w:rPr>
    </w:lvl>
  </w:abstractNum>
  <w:abstractNum w:abstractNumId="129">
    <w:multiLevelType w:val="hybridMultilevel"/>
    <w:lvl w:ilvl="0">
      <w:start w:val="2"/>
      <w:numFmt w:val="lowerLetter"/>
      <w:lvlText w:val="(%1)"/>
      <w:lvlJc w:val="left"/>
      <w:pPr>
        <w:ind w:left="1022" w:hanging="246"/>
        <w:jc w:val="left"/>
      </w:pPr>
      <w:rPr>
        <w:rFonts w:hint="default" w:ascii="Arial" w:hAnsi="Arial" w:eastAsia="Arial" w:cs="Arial"/>
        <w:w w:val="99"/>
        <w:sz w:val="18"/>
        <w:szCs w:val="18"/>
        <w:lang w:val="tr-TR" w:eastAsia="tr-TR" w:bidi="tr-TR"/>
      </w:rPr>
    </w:lvl>
    <w:lvl w:ilvl="1">
      <w:start w:val="0"/>
      <w:numFmt w:val="bullet"/>
      <w:lvlText w:val="•"/>
      <w:lvlJc w:val="left"/>
      <w:pPr>
        <w:ind w:left="1988" w:hanging="246"/>
      </w:pPr>
      <w:rPr>
        <w:rFonts w:hint="default"/>
        <w:lang w:val="tr-TR" w:eastAsia="tr-TR" w:bidi="tr-TR"/>
      </w:rPr>
    </w:lvl>
    <w:lvl w:ilvl="2">
      <w:start w:val="0"/>
      <w:numFmt w:val="bullet"/>
      <w:lvlText w:val="•"/>
      <w:lvlJc w:val="left"/>
      <w:pPr>
        <w:ind w:left="2956" w:hanging="246"/>
      </w:pPr>
      <w:rPr>
        <w:rFonts w:hint="default"/>
        <w:lang w:val="tr-TR" w:eastAsia="tr-TR" w:bidi="tr-TR"/>
      </w:rPr>
    </w:lvl>
    <w:lvl w:ilvl="3">
      <w:start w:val="0"/>
      <w:numFmt w:val="bullet"/>
      <w:lvlText w:val="•"/>
      <w:lvlJc w:val="left"/>
      <w:pPr>
        <w:ind w:left="3924" w:hanging="246"/>
      </w:pPr>
      <w:rPr>
        <w:rFonts w:hint="default"/>
        <w:lang w:val="tr-TR" w:eastAsia="tr-TR" w:bidi="tr-TR"/>
      </w:rPr>
    </w:lvl>
    <w:lvl w:ilvl="4">
      <w:start w:val="0"/>
      <w:numFmt w:val="bullet"/>
      <w:lvlText w:val="•"/>
      <w:lvlJc w:val="left"/>
      <w:pPr>
        <w:ind w:left="4892" w:hanging="246"/>
      </w:pPr>
      <w:rPr>
        <w:rFonts w:hint="default"/>
        <w:lang w:val="tr-TR" w:eastAsia="tr-TR" w:bidi="tr-TR"/>
      </w:rPr>
    </w:lvl>
    <w:lvl w:ilvl="5">
      <w:start w:val="0"/>
      <w:numFmt w:val="bullet"/>
      <w:lvlText w:val="•"/>
      <w:lvlJc w:val="left"/>
      <w:pPr>
        <w:ind w:left="5860" w:hanging="246"/>
      </w:pPr>
      <w:rPr>
        <w:rFonts w:hint="default"/>
        <w:lang w:val="tr-TR" w:eastAsia="tr-TR" w:bidi="tr-TR"/>
      </w:rPr>
    </w:lvl>
    <w:lvl w:ilvl="6">
      <w:start w:val="0"/>
      <w:numFmt w:val="bullet"/>
      <w:lvlText w:val="•"/>
      <w:lvlJc w:val="left"/>
      <w:pPr>
        <w:ind w:left="6828" w:hanging="246"/>
      </w:pPr>
      <w:rPr>
        <w:rFonts w:hint="default"/>
        <w:lang w:val="tr-TR" w:eastAsia="tr-TR" w:bidi="tr-TR"/>
      </w:rPr>
    </w:lvl>
    <w:lvl w:ilvl="7">
      <w:start w:val="0"/>
      <w:numFmt w:val="bullet"/>
      <w:lvlText w:val="•"/>
      <w:lvlJc w:val="left"/>
      <w:pPr>
        <w:ind w:left="7796" w:hanging="246"/>
      </w:pPr>
      <w:rPr>
        <w:rFonts w:hint="default"/>
        <w:lang w:val="tr-TR" w:eastAsia="tr-TR" w:bidi="tr-TR"/>
      </w:rPr>
    </w:lvl>
    <w:lvl w:ilvl="8">
      <w:start w:val="0"/>
      <w:numFmt w:val="bullet"/>
      <w:lvlText w:val="•"/>
      <w:lvlJc w:val="left"/>
      <w:pPr>
        <w:ind w:left="8764" w:hanging="246"/>
      </w:pPr>
      <w:rPr>
        <w:rFonts w:hint="default"/>
        <w:lang w:val="tr-TR" w:eastAsia="tr-TR" w:bidi="tr-TR"/>
      </w:rPr>
    </w:lvl>
  </w:abstractNum>
  <w:abstractNum w:abstractNumId="128">
    <w:multiLevelType w:val="hybridMultilevel"/>
    <w:lvl w:ilvl="0">
      <w:start w:val="1"/>
      <w:numFmt w:val="decimal"/>
      <w:lvlText w:val="%1."/>
      <w:lvlJc w:val="left"/>
      <w:pPr>
        <w:ind w:left="726" w:hanging="221"/>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21"/>
      </w:pPr>
      <w:rPr>
        <w:rFonts w:hint="default"/>
        <w:lang w:val="tr-TR" w:eastAsia="tr-TR" w:bidi="tr-TR"/>
      </w:rPr>
    </w:lvl>
    <w:lvl w:ilvl="2">
      <w:start w:val="0"/>
      <w:numFmt w:val="bullet"/>
      <w:lvlText w:val="•"/>
      <w:lvlJc w:val="left"/>
      <w:pPr>
        <w:ind w:left="2716" w:hanging="221"/>
      </w:pPr>
      <w:rPr>
        <w:rFonts w:hint="default"/>
        <w:lang w:val="tr-TR" w:eastAsia="tr-TR" w:bidi="tr-TR"/>
      </w:rPr>
    </w:lvl>
    <w:lvl w:ilvl="3">
      <w:start w:val="0"/>
      <w:numFmt w:val="bullet"/>
      <w:lvlText w:val="•"/>
      <w:lvlJc w:val="left"/>
      <w:pPr>
        <w:ind w:left="3714" w:hanging="221"/>
      </w:pPr>
      <w:rPr>
        <w:rFonts w:hint="default"/>
        <w:lang w:val="tr-TR" w:eastAsia="tr-TR" w:bidi="tr-TR"/>
      </w:rPr>
    </w:lvl>
    <w:lvl w:ilvl="4">
      <w:start w:val="0"/>
      <w:numFmt w:val="bullet"/>
      <w:lvlText w:val="•"/>
      <w:lvlJc w:val="left"/>
      <w:pPr>
        <w:ind w:left="4712" w:hanging="221"/>
      </w:pPr>
      <w:rPr>
        <w:rFonts w:hint="default"/>
        <w:lang w:val="tr-TR" w:eastAsia="tr-TR" w:bidi="tr-TR"/>
      </w:rPr>
    </w:lvl>
    <w:lvl w:ilvl="5">
      <w:start w:val="0"/>
      <w:numFmt w:val="bullet"/>
      <w:lvlText w:val="•"/>
      <w:lvlJc w:val="left"/>
      <w:pPr>
        <w:ind w:left="5710" w:hanging="221"/>
      </w:pPr>
      <w:rPr>
        <w:rFonts w:hint="default"/>
        <w:lang w:val="tr-TR" w:eastAsia="tr-TR" w:bidi="tr-TR"/>
      </w:rPr>
    </w:lvl>
    <w:lvl w:ilvl="6">
      <w:start w:val="0"/>
      <w:numFmt w:val="bullet"/>
      <w:lvlText w:val="•"/>
      <w:lvlJc w:val="left"/>
      <w:pPr>
        <w:ind w:left="6708" w:hanging="221"/>
      </w:pPr>
      <w:rPr>
        <w:rFonts w:hint="default"/>
        <w:lang w:val="tr-TR" w:eastAsia="tr-TR" w:bidi="tr-TR"/>
      </w:rPr>
    </w:lvl>
    <w:lvl w:ilvl="7">
      <w:start w:val="0"/>
      <w:numFmt w:val="bullet"/>
      <w:lvlText w:val="•"/>
      <w:lvlJc w:val="left"/>
      <w:pPr>
        <w:ind w:left="7706" w:hanging="221"/>
      </w:pPr>
      <w:rPr>
        <w:rFonts w:hint="default"/>
        <w:lang w:val="tr-TR" w:eastAsia="tr-TR" w:bidi="tr-TR"/>
      </w:rPr>
    </w:lvl>
    <w:lvl w:ilvl="8">
      <w:start w:val="0"/>
      <w:numFmt w:val="bullet"/>
      <w:lvlText w:val="•"/>
      <w:lvlJc w:val="left"/>
      <w:pPr>
        <w:ind w:left="8704" w:hanging="221"/>
      </w:pPr>
      <w:rPr>
        <w:rFonts w:hint="default"/>
        <w:lang w:val="tr-TR" w:eastAsia="tr-TR" w:bidi="tr-TR"/>
      </w:rPr>
    </w:lvl>
  </w:abstractNum>
  <w:abstractNum w:abstractNumId="127">
    <w:multiLevelType w:val="hybridMultilevel"/>
    <w:lvl w:ilvl="0">
      <w:start w:val="1"/>
      <w:numFmt w:val="lowerLetter"/>
      <w:lvlText w:val="(%1)"/>
      <w:lvlJc w:val="left"/>
      <w:pPr>
        <w:ind w:left="1022"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126">
    <w:multiLevelType w:val="hybridMultilevel"/>
    <w:lvl w:ilvl="0">
      <w:start w:val="1"/>
      <w:numFmt w:val="decimal"/>
      <w:lvlText w:val="%1."/>
      <w:lvlJc w:val="left"/>
      <w:pPr>
        <w:ind w:left="947" w:hanging="221"/>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16" w:hanging="221"/>
      </w:pPr>
      <w:rPr>
        <w:rFonts w:hint="default"/>
        <w:lang w:val="tr-TR" w:eastAsia="tr-TR" w:bidi="tr-TR"/>
      </w:rPr>
    </w:lvl>
    <w:lvl w:ilvl="2">
      <w:start w:val="0"/>
      <w:numFmt w:val="bullet"/>
      <w:lvlText w:val="•"/>
      <w:lvlJc w:val="left"/>
      <w:pPr>
        <w:ind w:left="2892" w:hanging="221"/>
      </w:pPr>
      <w:rPr>
        <w:rFonts w:hint="default"/>
        <w:lang w:val="tr-TR" w:eastAsia="tr-TR" w:bidi="tr-TR"/>
      </w:rPr>
    </w:lvl>
    <w:lvl w:ilvl="3">
      <w:start w:val="0"/>
      <w:numFmt w:val="bullet"/>
      <w:lvlText w:val="•"/>
      <w:lvlJc w:val="left"/>
      <w:pPr>
        <w:ind w:left="3868" w:hanging="221"/>
      </w:pPr>
      <w:rPr>
        <w:rFonts w:hint="default"/>
        <w:lang w:val="tr-TR" w:eastAsia="tr-TR" w:bidi="tr-TR"/>
      </w:rPr>
    </w:lvl>
    <w:lvl w:ilvl="4">
      <w:start w:val="0"/>
      <w:numFmt w:val="bullet"/>
      <w:lvlText w:val="•"/>
      <w:lvlJc w:val="left"/>
      <w:pPr>
        <w:ind w:left="4844" w:hanging="221"/>
      </w:pPr>
      <w:rPr>
        <w:rFonts w:hint="default"/>
        <w:lang w:val="tr-TR" w:eastAsia="tr-TR" w:bidi="tr-TR"/>
      </w:rPr>
    </w:lvl>
    <w:lvl w:ilvl="5">
      <w:start w:val="0"/>
      <w:numFmt w:val="bullet"/>
      <w:lvlText w:val="•"/>
      <w:lvlJc w:val="left"/>
      <w:pPr>
        <w:ind w:left="5820" w:hanging="221"/>
      </w:pPr>
      <w:rPr>
        <w:rFonts w:hint="default"/>
        <w:lang w:val="tr-TR" w:eastAsia="tr-TR" w:bidi="tr-TR"/>
      </w:rPr>
    </w:lvl>
    <w:lvl w:ilvl="6">
      <w:start w:val="0"/>
      <w:numFmt w:val="bullet"/>
      <w:lvlText w:val="•"/>
      <w:lvlJc w:val="left"/>
      <w:pPr>
        <w:ind w:left="6796" w:hanging="221"/>
      </w:pPr>
      <w:rPr>
        <w:rFonts w:hint="default"/>
        <w:lang w:val="tr-TR" w:eastAsia="tr-TR" w:bidi="tr-TR"/>
      </w:rPr>
    </w:lvl>
    <w:lvl w:ilvl="7">
      <w:start w:val="0"/>
      <w:numFmt w:val="bullet"/>
      <w:lvlText w:val="•"/>
      <w:lvlJc w:val="left"/>
      <w:pPr>
        <w:ind w:left="7772" w:hanging="221"/>
      </w:pPr>
      <w:rPr>
        <w:rFonts w:hint="default"/>
        <w:lang w:val="tr-TR" w:eastAsia="tr-TR" w:bidi="tr-TR"/>
      </w:rPr>
    </w:lvl>
    <w:lvl w:ilvl="8">
      <w:start w:val="0"/>
      <w:numFmt w:val="bullet"/>
      <w:lvlText w:val="•"/>
      <w:lvlJc w:val="left"/>
      <w:pPr>
        <w:ind w:left="8748" w:hanging="221"/>
      </w:pPr>
      <w:rPr>
        <w:rFonts w:hint="default"/>
        <w:lang w:val="tr-TR" w:eastAsia="tr-TR" w:bidi="tr-TR"/>
      </w:rPr>
    </w:lvl>
  </w:abstractNum>
  <w:abstractNum w:abstractNumId="125">
    <w:multiLevelType w:val="hybridMultilevel"/>
    <w:lvl w:ilvl="0">
      <w:start w:val="1"/>
      <w:numFmt w:val="decimal"/>
      <w:lvlText w:val="%1."/>
      <w:lvlJc w:val="left"/>
      <w:pPr>
        <w:ind w:left="947" w:hanging="221"/>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16" w:hanging="221"/>
      </w:pPr>
      <w:rPr>
        <w:rFonts w:hint="default"/>
        <w:lang w:val="tr-TR" w:eastAsia="tr-TR" w:bidi="tr-TR"/>
      </w:rPr>
    </w:lvl>
    <w:lvl w:ilvl="2">
      <w:start w:val="0"/>
      <w:numFmt w:val="bullet"/>
      <w:lvlText w:val="•"/>
      <w:lvlJc w:val="left"/>
      <w:pPr>
        <w:ind w:left="2892" w:hanging="221"/>
      </w:pPr>
      <w:rPr>
        <w:rFonts w:hint="default"/>
        <w:lang w:val="tr-TR" w:eastAsia="tr-TR" w:bidi="tr-TR"/>
      </w:rPr>
    </w:lvl>
    <w:lvl w:ilvl="3">
      <w:start w:val="0"/>
      <w:numFmt w:val="bullet"/>
      <w:lvlText w:val="•"/>
      <w:lvlJc w:val="left"/>
      <w:pPr>
        <w:ind w:left="3868" w:hanging="221"/>
      </w:pPr>
      <w:rPr>
        <w:rFonts w:hint="default"/>
        <w:lang w:val="tr-TR" w:eastAsia="tr-TR" w:bidi="tr-TR"/>
      </w:rPr>
    </w:lvl>
    <w:lvl w:ilvl="4">
      <w:start w:val="0"/>
      <w:numFmt w:val="bullet"/>
      <w:lvlText w:val="•"/>
      <w:lvlJc w:val="left"/>
      <w:pPr>
        <w:ind w:left="4844" w:hanging="221"/>
      </w:pPr>
      <w:rPr>
        <w:rFonts w:hint="default"/>
        <w:lang w:val="tr-TR" w:eastAsia="tr-TR" w:bidi="tr-TR"/>
      </w:rPr>
    </w:lvl>
    <w:lvl w:ilvl="5">
      <w:start w:val="0"/>
      <w:numFmt w:val="bullet"/>
      <w:lvlText w:val="•"/>
      <w:lvlJc w:val="left"/>
      <w:pPr>
        <w:ind w:left="5820" w:hanging="221"/>
      </w:pPr>
      <w:rPr>
        <w:rFonts w:hint="default"/>
        <w:lang w:val="tr-TR" w:eastAsia="tr-TR" w:bidi="tr-TR"/>
      </w:rPr>
    </w:lvl>
    <w:lvl w:ilvl="6">
      <w:start w:val="0"/>
      <w:numFmt w:val="bullet"/>
      <w:lvlText w:val="•"/>
      <w:lvlJc w:val="left"/>
      <w:pPr>
        <w:ind w:left="6796" w:hanging="221"/>
      </w:pPr>
      <w:rPr>
        <w:rFonts w:hint="default"/>
        <w:lang w:val="tr-TR" w:eastAsia="tr-TR" w:bidi="tr-TR"/>
      </w:rPr>
    </w:lvl>
    <w:lvl w:ilvl="7">
      <w:start w:val="0"/>
      <w:numFmt w:val="bullet"/>
      <w:lvlText w:val="•"/>
      <w:lvlJc w:val="left"/>
      <w:pPr>
        <w:ind w:left="7772" w:hanging="221"/>
      </w:pPr>
      <w:rPr>
        <w:rFonts w:hint="default"/>
        <w:lang w:val="tr-TR" w:eastAsia="tr-TR" w:bidi="tr-TR"/>
      </w:rPr>
    </w:lvl>
    <w:lvl w:ilvl="8">
      <w:start w:val="0"/>
      <w:numFmt w:val="bullet"/>
      <w:lvlText w:val="•"/>
      <w:lvlJc w:val="left"/>
      <w:pPr>
        <w:ind w:left="8748" w:hanging="221"/>
      </w:pPr>
      <w:rPr>
        <w:rFonts w:hint="default"/>
        <w:lang w:val="tr-TR" w:eastAsia="tr-TR" w:bidi="tr-TR"/>
      </w:rPr>
    </w:lvl>
  </w:abstractNum>
  <w:abstractNum w:abstractNumId="124">
    <w:multiLevelType w:val="hybridMultilevel"/>
    <w:lvl w:ilvl="0">
      <w:start w:val="1"/>
      <w:numFmt w:val="decimal"/>
      <w:lvlText w:val="%1."/>
      <w:lvlJc w:val="left"/>
      <w:pPr>
        <w:ind w:left="726" w:hanging="221"/>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21"/>
      </w:pPr>
      <w:rPr>
        <w:rFonts w:hint="default"/>
        <w:lang w:val="tr-TR" w:eastAsia="tr-TR" w:bidi="tr-TR"/>
      </w:rPr>
    </w:lvl>
    <w:lvl w:ilvl="2">
      <w:start w:val="0"/>
      <w:numFmt w:val="bullet"/>
      <w:lvlText w:val="•"/>
      <w:lvlJc w:val="left"/>
      <w:pPr>
        <w:ind w:left="2716" w:hanging="221"/>
      </w:pPr>
      <w:rPr>
        <w:rFonts w:hint="default"/>
        <w:lang w:val="tr-TR" w:eastAsia="tr-TR" w:bidi="tr-TR"/>
      </w:rPr>
    </w:lvl>
    <w:lvl w:ilvl="3">
      <w:start w:val="0"/>
      <w:numFmt w:val="bullet"/>
      <w:lvlText w:val="•"/>
      <w:lvlJc w:val="left"/>
      <w:pPr>
        <w:ind w:left="3714" w:hanging="221"/>
      </w:pPr>
      <w:rPr>
        <w:rFonts w:hint="default"/>
        <w:lang w:val="tr-TR" w:eastAsia="tr-TR" w:bidi="tr-TR"/>
      </w:rPr>
    </w:lvl>
    <w:lvl w:ilvl="4">
      <w:start w:val="0"/>
      <w:numFmt w:val="bullet"/>
      <w:lvlText w:val="•"/>
      <w:lvlJc w:val="left"/>
      <w:pPr>
        <w:ind w:left="4712" w:hanging="221"/>
      </w:pPr>
      <w:rPr>
        <w:rFonts w:hint="default"/>
        <w:lang w:val="tr-TR" w:eastAsia="tr-TR" w:bidi="tr-TR"/>
      </w:rPr>
    </w:lvl>
    <w:lvl w:ilvl="5">
      <w:start w:val="0"/>
      <w:numFmt w:val="bullet"/>
      <w:lvlText w:val="•"/>
      <w:lvlJc w:val="left"/>
      <w:pPr>
        <w:ind w:left="5710" w:hanging="221"/>
      </w:pPr>
      <w:rPr>
        <w:rFonts w:hint="default"/>
        <w:lang w:val="tr-TR" w:eastAsia="tr-TR" w:bidi="tr-TR"/>
      </w:rPr>
    </w:lvl>
    <w:lvl w:ilvl="6">
      <w:start w:val="0"/>
      <w:numFmt w:val="bullet"/>
      <w:lvlText w:val="•"/>
      <w:lvlJc w:val="left"/>
      <w:pPr>
        <w:ind w:left="6708" w:hanging="221"/>
      </w:pPr>
      <w:rPr>
        <w:rFonts w:hint="default"/>
        <w:lang w:val="tr-TR" w:eastAsia="tr-TR" w:bidi="tr-TR"/>
      </w:rPr>
    </w:lvl>
    <w:lvl w:ilvl="7">
      <w:start w:val="0"/>
      <w:numFmt w:val="bullet"/>
      <w:lvlText w:val="•"/>
      <w:lvlJc w:val="left"/>
      <w:pPr>
        <w:ind w:left="7706" w:hanging="221"/>
      </w:pPr>
      <w:rPr>
        <w:rFonts w:hint="default"/>
        <w:lang w:val="tr-TR" w:eastAsia="tr-TR" w:bidi="tr-TR"/>
      </w:rPr>
    </w:lvl>
    <w:lvl w:ilvl="8">
      <w:start w:val="0"/>
      <w:numFmt w:val="bullet"/>
      <w:lvlText w:val="•"/>
      <w:lvlJc w:val="left"/>
      <w:pPr>
        <w:ind w:left="8704" w:hanging="221"/>
      </w:pPr>
      <w:rPr>
        <w:rFonts w:hint="default"/>
        <w:lang w:val="tr-TR" w:eastAsia="tr-TR" w:bidi="tr-TR"/>
      </w:rPr>
    </w:lvl>
  </w:abstractNum>
  <w:abstractNum w:abstractNumId="123">
    <w:multiLevelType w:val="hybridMultilevel"/>
    <w:lvl w:ilvl="0">
      <w:start w:val="1"/>
      <w:numFmt w:val="decimal"/>
      <w:lvlText w:val="%1."/>
      <w:lvlJc w:val="left"/>
      <w:pPr>
        <w:ind w:left="726" w:hanging="41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413"/>
      </w:pPr>
      <w:rPr>
        <w:rFonts w:hint="default"/>
        <w:lang w:val="tr-TR" w:eastAsia="tr-TR" w:bidi="tr-TR"/>
      </w:rPr>
    </w:lvl>
    <w:lvl w:ilvl="2">
      <w:start w:val="0"/>
      <w:numFmt w:val="bullet"/>
      <w:lvlText w:val="•"/>
      <w:lvlJc w:val="left"/>
      <w:pPr>
        <w:ind w:left="2716" w:hanging="413"/>
      </w:pPr>
      <w:rPr>
        <w:rFonts w:hint="default"/>
        <w:lang w:val="tr-TR" w:eastAsia="tr-TR" w:bidi="tr-TR"/>
      </w:rPr>
    </w:lvl>
    <w:lvl w:ilvl="3">
      <w:start w:val="0"/>
      <w:numFmt w:val="bullet"/>
      <w:lvlText w:val="•"/>
      <w:lvlJc w:val="left"/>
      <w:pPr>
        <w:ind w:left="3714" w:hanging="413"/>
      </w:pPr>
      <w:rPr>
        <w:rFonts w:hint="default"/>
        <w:lang w:val="tr-TR" w:eastAsia="tr-TR" w:bidi="tr-TR"/>
      </w:rPr>
    </w:lvl>
    <w:lvl w:ilvl="4">
      <w:start w:val="0"/>
      <w:numFmt w:val="bullet"/>
      <w:lvlText w:val="•"/>
      <w:lvlJc w:val="left"/>
      <w:pPr>
        <w:ind w:left="4712" w:hanging="413"/>
      </w:pPr>
      <w:rPr>
        <w:rFonts w:hint="default"/>
        <w:lang w:val="tr-TR" w:eastAsia="tr-TR" w:bidi="tr-TR"/>
      </w:rPr>
    </w:lvl>
    <w:lvl w:ilvl="5">
      <w:start w:val="0"/>
      <w:numFmt w:val="bullet"/>
      <w:lvlText w:val="•"/>
      <w:lvlJc w:val="left"/>
      <w:pPr>
        <w:ind w:left="5710" w:hanging="413"/>
      </w:pPr>
      <w:rPr>
        <w:rFonts w:hint="default"/>
        <w:lang w:val="tr-TR" w:eastAsia="tr-TR" w:bidi="tr-TR"/>
      </w:rPr>
    </w:lvl>
    <w:lvl w:ilvl="6">
      <w:start w:val="0"/>
      <w:numFmt w:val="bullet"/>
      <w:lvlText w:val="•"/>
      <w:lvlJc w:val="left"/>
      <w:pPr>
        <w:ind w:left="6708" w:hanging="413"/>
      </w:pPr>
      <w:rPr>
        <w:rFonts w:hint="default"/>
        <w:lang w:val="tr-TR" w:eastAsia="tr-TR" w:bidi="tr-TR"/>
      </w:rPr>
    </w:lvl>
    <w:lvl w:ilvl="7">
      <w:start w:val="0"/>
      <w:numFmt w:val="bullet"/>
      <w:lvlText w:val="•"/>
      <w:lvlJc w:val="left"/>
      <w:pPr>
        <w:ind w:left="7706" w:hanging="413"/>
      </w:pPr>
      <w:rPr>
        <w:rFonts w:hint="default"/>
        <w:lang w:val="tr-TR" w:eastAsia="tr-TR" w:bidi="tr-TR"/>
      </w:rPr>
    </w:lvl>
    <w:lvl w:ilvl="8">
      <w:start w:val="0"/>
      <w:numFmt w:val="bullet"/>
      <w:lvlText w:val="•"/>
      <w:lvlJc w:val="left"/>
      <w:pPr>
        <w:ind w:left="8704" w:hanging="413"/>
      </w:pPr>
      <w:rPr>
        <w:rFonts w:hint="default"/>
        <w:lang w:val="tr-TR" w:eastAsia="tr-TR" w:bidi="tr-TR"/>
      </w:rPr>
    </w:lvl>
  </w:abstractNum>
  <w:abstractNum w:abstractNumId="122">
    <w:multiLevelType w:val="hybridMultilevel"/>
    <w:lvl w:ilvl="0">
      <w:start w:val="1"/>
      <w:numFmt w:val="lowerLetter"/>
      <w:lvlText w:val="(%1)"/>
      <w:lvlJc w:val="left"/>
      <w:pPr>
        <w:ind w:left="1079"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2042" w:hanging="300"/>
      </w:pPr>
      <w:rPr>
        <w:rFonts w:hint="default"/>
        <w:lang w:val="tr-TR" w:eastAsia="tr-TR" w:bidi="tr-TR"/>
      </w:rPr>
    </w:lvl>
    <w:lvl w:ilvl="2">
      <w:start w:val="0"/>
      <w:numFmt w:val="bullet"/>
      <w:lvlText w:val="•"/>
      <w:lvlJc w:val="left"/>
      <w:pPr>
        <w:ind w:left="3004" w:hanging="300"/>
      </w:pPr>
      <w:rPr>
        <w:rFonts w:hint="default"/>
        <w:lang w:val="tr-TR" w:eastAsia="tr-TR" w:bidi="tr-TR"/>
      </w:rPr>
    </w:lvl>
    <w:lvl w:ilvl="3">
      <w:start w:val="0"/>
      <w:numFmt w:val="bullet"/>
      <w:lvlText w:val="•"/>
      <w:lvlJc w:val="left"/>
      <w:pPr>
        <w:ind w:left="3966" w:hanging="300"/>
      </w:pPr>
      <w:rPr>
        <w:rFonts w:hint="default"/>
        <w:lang w:val="tr-TR" w:eastAsia="tr-TR" w:bidi="tr-TR"/>
      </w:rPr>
    </w:lvl>
    <w:lvl w:ilvl="4">
      <w:start w:val="0"/>
      <w:numFmt w:val="bullet"/>
      <w:lvlText w:val="•"/>
      <w:lvlJc w:val="left"/>
      <w:pPr>
        <w:ind w:left="4928" w:hanging="300"/>
      </w:pPr>
      <w:rPr>
        <w:rFonts w:hint="default"/>
        <w:lang w:val="tr-TR" w:eastAsia="tr-TR" w:bidi="tr-TR"/>
      </w:rPr>
    </w:lvl>
    <w:lvl w:ilvl="5">
      <w:start w:val="0"/>
      <w:numFmt w:val="bullet"/>
      <w:lvlText w:val="•"/>
      <w:lvlJc w:val="left"/>
      <w:pPr>
        <w:ind w:left="5890" w:hanging="300"/>
      </w:pPr>
      <w:rPr>
        <w:rFonts w:hint="default"/>
        <w:lang w:val="tr-TR" w:eastAsia="tr-TR" w:bidi="tr-TR"/>
      </w:rPr>
    </w:lvl>
    <w:lvl w:ilvl="6">
      <w:start w:val="0"/>
      <w:numFmt w:val="bullet"/>
      <w:lvlText w:val="•"/>
      <w:lvlJc w:val="left"/>
      <w:pPr>
        <w:ind w:left="6852" w:hanging="300"/>
      </w:pPr>
      <w:rPr>
        <w:rFonts w:hint="default"/>
        <w:lang w:val="tr-TR" w:eastAsia="tr-TR" w:bidi="tr-TR"/>
      </w:rPr>
    </w:lvl>
    <w:lvl w:ilvl="7">
      <w:start w:val="0"/>
      <w:numFmt w:val="bullet"/>
      <w:lvlText w:val="•"/>
      <w:lvlJc w:val="left"/>
      <w:pPr>
        <w:ind w:left="7814" w:hanging="300"/>
      </w:pPr>
      <w:rPr>
        <w:rFonts w:hint="default"/>
        <w:lang w:val="tr-TR" w:eastAsia="tr-TR" w:bidi="tr-TR"/>
      </w:rPr>
    </w:lvl>
    <w:lvl w:ilvl="8">
      <w:start w:val="0"/>
      <w:numFmt w:val="bullet"/>
      <w:lvlText w:val="•"/>
      <w:lvlJc w:val="left"/>
      <w:pPr>
        <w:ind w:left="8776" w:hanging="300"/>
      </w:pPr>
      <w:rPr>
        <w:rFonts w:hint="default"/>
        <w:lang w:val="tr-TR" w:eastAsia="tr-TR" w:bidi="tr-TR"/>
      </w:rPr>
    </w:lvl>
  </w:abstractNum>
  <w:abstractNum w:abstractNumId="121">
    <w:multiLevelType w:val="hybridMultilevel"/>
    <w:lvl w:ilvl="0">
      <w:start w:val="1"/>
      <w:numFmt w:val="decimal"/>
      <w:lvlText w:val="%1."/>
      <w:lvlJc w:val="left"/>
      <w:pPr>
        <w:ind w:left="726" w:hanging="23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420" w:hanging="233"/>
      </w:pPr>
      <w:rPr>
        <w:rFonts w:hint="default"/>
        <w:lang w:val="tr-TR" w:eastAsia="tr-TR" w:bidi="tr-TR"/>
      </w:rPr>
    </w:lvl>
    <w:lvl w:ilvl="2">
      <w:start w:val="0"/>
      <w:numFmt w:val="bullet"/>
      <w:lvlText w:val="•"/>
      <w:lvlJc w:val="left"/>
      <w:pPr>
        <w:ind w:left="2451" w:hanging="233"/>
      </w:pPr>
      <w:rPr>
        <w:rFonts w:hint="default"/>
        <w:lang w:val="tr-TR" w:eastAsia="tr-TR" w:bidi="tr-TR"/>
      </w:rPr>
    </w:lvl>
    <w:lvl w:ilvl="3">
      <w:start w:val="0"/>
      <w:numFmt w:val="bullet"/>
      <w:lvlText w:val="•"/>
      <w:lvlJc w:val="left"/>
      <w:pPr>
        <w:ind w:left="3482" w:hanging="233"/>
      </w:pPr>
      <w:rPr>
        <w:rFonts w:hint="default"/>
        <w:lang w:val="tr-TR" w:eastAsia="tr-TR" w:bidi="tr-TR"/>
      </w:rPr>
    </w:lvl>
    <w:lvl w:ilvl="4">
      <w:start w:val="0"/>
      <w:numFmt w:val="bullet"/>
      <w:lvlText w:val="•"/>
      <w:lvlJc w:val="left"/>
      <w:pPr>
        <w:ind w:left="4513" w:hanging="233"/>
      </w:pPr>
      <w:rPr>
        <w:rFonts w:hint="default"/>
        <w:lang w:val="tr-TR" w:eastAsia="tr-TR" w:bidi="tr-TR"/>
      </w:rPr>
    </w:lvl>
    <w:lvl w:ilvl="5">
      <w:start w:val="0"/>
      <w:numFmt w:val="bullet"/>
      <w:lvlText w:val="•"/>
      <w:lvlJc w:val="left"/>
      <w:pPr>
        <w:ind w:left="5544" w:hanging="233"/>
      </w:pPr>
      <w:rPr>
        <w:rFonts w:hint="default"/>
        <w:lang w:val="tr-TR" w:eastAsia="tr-TR" w:bidi="tr-TR"/>
      </w:rPr>
    </w:lvl>
    <w:lvl w:ilvl="6">
      <w:start w:val="0"/>
      <w:numFmt w:val="bullet"/>
      <w:lvlText w:val="•"/>
      <w:lvlJc w:val="left"/>
      <w:pPr>
        <w:ind w:left="6576" w:hanging="233"/>
      </w:pPr>
      <w:rPr>
        <w:rFonts w:hint="default"/>
        <w:lang w:val="tr-TR" w:eastAsia="tr-TR" w:bidi="tr-TR"/>
      </w:rPr>
    </w:lvl>
    <w:lvl w:ilvl="7">
      <w:start w:val="0"/>
      <w:numFmt w:val="bullet"/>
      <w:lvlText w:val="•"/>
      <w:lvlJc w:val="left"/>
      <w:pPr>
        <w:ind w:left="7607" w:hanging="233"/>
      </w:pPr>
      <w:rPr>
        <w:rFonts w:hint="default"/>
        <w:lang w:val="tr-TR" w:eastAsia="tr-TR" w:bidi="tr-TR"/>
      </w:rPr>
    </w:lvl>
    <w:lvl w:ilvl="8">
      <w:start w:val="0"/>
      <w:numFmt w:val="bullet"/>
      <w:lvlText w:val="•"/>
      <w:lvlJc w:val="left"/>
      <w:pPr>
        <w:ind w:left="8638" w:hanging="233"/>
      </w:pPr>
      <w:rPr>
        <w:rFonts w:hint="default"/>
        <w:lang w:val="tr-TR" w:eastAsia="tr-TR" w:bidi="tr-TR"/>
      </w:rPr>
    </w:lvl>
  </w:abstractNum>
  <w:abstractNum w:abstractNumId="120">
    <w:multiLevelType w:val="hybridMultilevel"/>
    <w:lvl w:ilvl="0">
      <w:start w:val="1"/>
      <w:numFmt w:val="decimal"/>
      <w:lvlText w:val="%1."/>
      <w:lvlJc w:val="left"/>
      <w:pPr>
        <w:ind w:left="726" w:hanging="236"/>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36"/>
      </w:pPr>
      <w:rPr>
        <w:rFonts w:hint="default"/>
        <w:lang w:val="tr-TR" w:eastAsia="tr-TR" w:bidi="tr-TR"/>
      </w:rPr>
    </w:lvl>
    <w:lvl w:ilvl="2">
      <w:start w:val="0"/>
      <w:numFmt w:val="bullet"/>
      <w:lvlText w:val="•"/>
      <w:lvlJc w:val="left"/>
      <w:pPr>
        <w:ind w:left="2716" w:hanging="236"/>
      </w:pPr>
      <w:rPr>
        <w:rFonts w:hint="default"/>
        <w:lang w:val="tr-TR" w:eastAsia="tr-TR" w:bidi="tr-TR"/>
      </w:rPr>
    </w:lvl>
    <w:lvl w:ilvl="3">
      <w:start w:val="0"/>
      <w:numFmt w:val="bullet"/>
      <w:lvlText w:val="•"/>
      <w:lvlJc w:val="left"/>
      <w:pPr>
        <w:ind w:left="3714" w:hanging="236"/>
      </w:pPr>
      <w:rPr>
        <w:rFonts w:hint="default"/>
        <w:lang w:val="tr-TR" w:eastAsia="tr-TR" w:bidi="tr-TR"/>
      </w:rPr>
    </w:lvl>
    <w:lvl w:ilvl="4">
      <w:start w:val="0"/>
      <w:numFmt w:val="bullet"/>
      <w:lvlText w:val="•"/>
      <w:lvlJc w:val="left"/>
      <w:pPr>
        <w:ind w:left="4712" w:hanging="236"/>
      </w:pPr>
      <w:rPr>
        <w:rFonts w:hint="default"/>
        <w:lang w:val="tr-TR" w:eastAsia="tr-TR" w:bidi="tr-TR"/>
      </w:rPr>
    </w:lvl>
    <w:lvl w:ilvl="5">
      <w:start w:val="0"/>
      <w:numFmt w:val="bullet"/>
      <w:lvlText w:val="•"/>
      <w:lvlJc w:val="left"/>
      <w:pPr>
        <w:ind w:left="5710" w:hanging="236"/>
      </w:pPr>
      <w:rPr>
        <w:rFonts w:hint="default"/>
        <w:lang w:val="tr-TR" w:eastAsia="tr-TR" w:bidi="tr-TR"/>
      </w:rPr>
    </w:lvl>
    <w:lvl w:ilvl="6">
      <w:start w:val="0"/>
      <w:numFmt w:val="bullet"/>
      <w:lvlText w:val="•"/>
      <w:lvlJc w:val="left"/>
      <w:pPr>
        <w:ind w:left="6708" w:hanging="236"/>
      </w:pPr>
      <w:rPr>
        <w:rFonts w:hint="default"/>
        <w:lang w:val="tr-TR" w:eastAsia="tr-TR" w:bidi="tr-TR"/>
      </w:rPr>
    </w:lvl>
    <w:lvl w:ilvl="7">
      <w:start w:val="0"/>
      <w:numFmt w:val="bullet"/>
      <w:lvlText w:val="•"/>
      <w:lvlJc w:val="left"/>
      <w:pPr>
        <w:ind w:left="7706" w:hanging="236"/>
      </w:pPr>
      <w:rPr>
        <w:rFonts w:hint="default"/>
        <w:lang w:val="tr-TR" w:eastAsia="tr-TR" w:bidi="tr-TR"/>
      </w:rPr>
    </w:lvl>
    <w:lvl w:ilvl="8">
      <w:start w:val="0"/>
      <w:numFmt w:val="bullet"/>
      <w:lvlText w:val="•"/>
      <w:lvlJc w:val="left"/>
      <w:pPr>
        <w:ind w:left="8704" w:hanging="236"/>
      </w:pPr>
      <w:rPr>
        <w:rFonts w:hint="default"/>
        <w:lang w:val="tr-TR" w:eastAsia="tr-TR" w:bidi="tr-TR"/>
      </w:rPr>
    </w:lvl>
  </w:abstractNum>
  <w:abstractNum w:abstractNumId="119">
    <w:multiLevelType w:val="hybridMultilevel"/>
    <w:lvl w:ilvl="0">
      <w:start w:val="1"/>
      <w:numFmt w:val="decimal"/>
      <w:lvlText w:val="%1."/>
      <w:lvlJc w:val="left"/>
      <w:pPr>
        <w:ind w:left="726" w:hanging="221"/>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21"/>
      </w:pPr>
      <w:rPr>
        <w:rFonts w:hint="default"/>
        <w:lang w:val="tr-TR" w:eastAsia="tr-TR" w:bidi="tr-TR"/>
      </w:rPr>
    </w:lvl>
    <w:lvl w:ilvl="2">
      <w:start w:val="0"/>
      <w:numFmt w:val="bullet"/>
      <w:lvlText w:val="•"/>
      <w:lvlJc w:val="left"/>
      <w:pPr>
        <w:ind w:left="2716" w:hanging="221"/>
      </w:pPr>
      <w:rPr>
        <w:rFonts w:hint="default"/>
        <w:lang w:val="tr-TR" w:eastAsia="tr-TR" w:bidi="tr-TR"/>
      </w:rPr>
    </w:lvl>
    <w:lvl w:ilvl="3">
      <w:start w:val="0"/>
      <w:numFmt w:val="bullet"/>
      <w:lvlText w:val="•"/>
      <w:lvlJc w:val="left"/>
      <w:pPr>
        <w:ind w:left="3714" w:hanging="221"/>
      </w:pPr>
      <w:rPr>
        <w:rFonts w:hint="default"/>
        <w:lang w:val="tr-TR" w:eastAsia="tr-TR" w:bidi="tr-TR"/>
      </w:rPr>
    </w:lvl>
    <w:lvl w:ilvl="4">
      <w:start w:val="0"/>
      <w:numFmt w:val="bullet"/>
      <w:lvlText w:val="•"/>
      <w:lvlJc w:val="left"/>
      <w:pPr>
        <w:ind w:left="4712" w:hanging="221"/>
      </w:pPr>
      <w:rPr>
        <w:rFonts w:hint="default"/>
        <w:lang w:val="tr-TR" w:eastAsia="tr-TR" w:bidi="tr-TR"/>
      </w:rPr>
    </w:lvl>
    <w:lvl w:ilvl="5">
      <w:start w:val="0"/>
      <w:numFmt w:val="bullet"/>
      <w:lvlText w:val="•"/>
      <w:lvlJc w:val="left"/>
      <w:pPr>
        <w:ind w:left="5710" w:hanging="221"/>
      </w:pPr>
      <w:rPr>
        <w:rFonts w:hint="default"/>
        <w:lang w:val="tr-TR" w:eastAsia="tr-TR" w:bidi="tr-TR"/>
      </w:rPr>
    </w:lvl>
    <w:lvl w:ilvl="6">
      <w:start w:val="0"/>
      <w:numFmt w:val="bullet"/>
      <w:lvlText w:val="•"/>
      <w:lvlJc w:val="left"/>
      <w:pPr>
        <w:ind w:left="6708" w:hanging="221"/>
      </w:pPr>
      <w:rPr>
        <w:rFonts w:hint="default"/>
        <w:lang w:val="tr-TR" w:eastAsia="tr-TR" w:bidi="tr-TR"/>
      </w:rPr>
    </w:lvl>
    <w:lvl w:ilvl="7">
      <w:start w:val="0"/>
      <w:numFmt w:val="bullet"/>
      <w:lvlText w:val="•"/>
      <w:lvlJc w:val="left"/>
      <w:pPr>
        <w:ind w:left="7706" w:hanging="221"/>
      </w:pPr>
      <w:rPr>
        <w:rFonts w:hint="default"/>
        <w:lang w:val="tr-TR" w:eastAsia="tr-TR" w:bidi="tr-TR"/>
      </w:rPr>
    </w:lvl>
    <w:lvl w:ilvl="8">
      <w:start w:val="0"/>
      <w:numFmt w:val="bullet"/>
      <w:lvlText w:val="•"/>
      <w:lvlJc w:val="left"/>
      <w:pPr>
        <w:ind w:left="8704" w:hanging="221"/>
      </w:pPr>
      <w:rPr>
        <w:rFonts w:hint="default"/>
        <w:lang w:val="tr-TR" w:eastAsia="tr-TR" w:bidi="tr-TR"/>
      </w:rPr>
    </w:lvl>
  </w:abstractNum>
  <w:abstractNum w:abstractNumId="118">
    <w:multiLevelType w:val="hybridMultilevel"/>
    <w:lvl w:ilvl="0">
      <w:start w:val="1"/>
      <w:numFmt w:val="decimal"/>
      <w:lvlText w:val="%1."/>
      <w:lvlJc w:val="left"/>
      <w:pPr>
        <w:ind w:left="726" w:hanging="324"/>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324"/>
      </w:pPr>
      <w:rPr>
        <w:rFonts w:hint="default"/>
        <w:lang w:val="tr-TR" w:eastAsia="tr-TR" w:bidi="tr-TR"/>
      </w:rPr>
    </w:lvl>
    <w:lvl w:ilvl="2">
      <w:start w:val="0"/>
      <w:numFmt w:val="bullet"/>
      <w:lvlText w:val="•"/>
      <w:lvlJc w:val="left"/>
      <w:pPr>
        <w:ind w:left="2716" w:hanging="324"/>
      </w:pPr>
      <w:rPr>
        <w:rFonts w:hint="default"/>
        <w:lang w:val="tr-TR" w:eastAsia="tr-TR" w:bidi="tr-TR"/>
      </w:rPr>
    </w:lvl>
    <w:lvl w:ilvl="3">
      <w:start w:val="0"/>
      <w:numFmt w:val="bullet"/>
      <w:lvlText w:val="•"/>
      <w:lvlJc w:val="left"/>
      <w:pPr>
        <w:ind w:left="3714" w:hanging="324"/>
      </w:pPr>
      <w:rPr>
        <w:rFonts w:hint="default"/>
        <w:lang w:val="tr-TR" w:eastAsia="tr-TR" w:bidi="tr-TR"/>
      </w:rPr>
    </w:lvl>
    <w:lvl w:ilvl="4">
      <w:start w:val="0"/>
      <w:numFmt w:val="bullet"/>
      <w:lvlText w:val="•"/>
      <w:lvlJc w:val="left"/>
      <w:pPr>
        <w:ind w:left="4712" w:hanging="324"/>
      </w:pPr>
      <w:rPr>
        <w:rFonts w:hint="default"/>
        <w:lang w:val="tr-TR" w:eastAsia="tr-TR" w:bidi="tr-TR"/>
      </w:rPr>
    </w:lvl>
    <w:lvl w:ilvl="5">
      <w:start w:val="0"/>
      <w:numFmt w:val="bullet"/>
      <w:lvlText w:val="•"/>
      <w:lvlJc w:val="left"/>
      <w:pPr>
        <w:ind w:left="5710" w:hanging="324"/>
      </w:pPr>
      <w:rPr>
        <w:rFonts w:hint="default"/>
        <w:lang w:val="tr-TR" w:eastAsia="tr-TR" w:bidi="tr-TR"/>
      </w:rPr>
    </w:lvl>
    <w:lvl w:ilvl="6">
      <w:start w:val="0"/>
      <w:numFmt w:val="bullet"/>
      <w:lvlText w:val="•"/>
      <w:lvlJc w:val="left"/>
      <w:pPr>
        <w:ind w:left="6708" w:hanging="324"/>
      </w:pPr>
      <w:rPr>
        <w:rFonts w:hint="default"/>
        <w:lang w:val="tr-TR" w:eastAsia="tr-TR" w:bidi="tr-TR"/>
      </w:rPr>
    </w:lvl>
    <w:lvl w:ilvl="7">
      <w:start w:val="0"/>
      <w:numFmt w:val="bullet"/>
      <w:lvlText w:val="•"/>
      <w:lvlJc w:val="left"/>
      <w:pPr>
        <w:ind w:left="7706" w:hanging="324"/>
      </w:pPr>
      <w:rPr>
        <w:rFonts w:hint="default"/>
        <w:lang w:val="tr-TR" w:eastAsia="tr-TR" w:bidi="tr-TR"/>
      </w:rPr>
    </w:lvl>
    <w:lvl w:ilvl="8">
      <w:start w:val="0"/>
      <w:numFmt w:val="bullet"/>
      <w:lvlText w:val="•"/>
      <w:lvlJc w:val="left"/>
      <w:pPr>
        <w:ind w:left="8704" w:hanging="324"/>
      </w:pPr>
      <w:rPr>
        <w:rFonts w:hint="default"/>
        <w:lang w:val="tr-TR" w:eastAsia="tr-TR" w:bidi="tr-TR"/>
      </w:rPr>
    </w:lvl>
  </w:abstractNum>
  <w:abstractNum w:abstractNumId="117">
    <w:multiLevelType w:val="hybridMultilevel"/>
    <w:lvl w:ilvl="0">
      <w:start w:val="1"/>
      <w:numFmt w:val="lowerLetter"/>
      <w:lvlText w:val="(%1)"/>
      <w:lvlJc w:val="left"/>
      <w:pPr>
        <w:ind w:left="1022" w:hanging="312"/>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12"/>
      </w:pPr>
      <w:rPr>
        <w:rFonts w:hint="default"/>
        <w:lang w:val="tr-TR" w:eastAsia="tr-TR" w:bidi="tr-TR"/>
      </w:rPr>
    </w:lvl>
    <w:lvl w:ilvl="2">
      <w:start w:val="0"/>
      <w:numFmt w:val="bullet"/>
      <w:lvlText w:val="•"/>
      <w:lvlJc w:val="left"/>
      <w:pPr>
        <w:ind w:left="2956" w:hanging="312"/>
      </w:pPr>
      <w:rPr>
        <w:rFonts w:hint="default"/>
        <w:lang w:val="tr-TR" w:eastAsia="tr-TR" w:bidi="tr-TR"/>
      </w:rPr>
    </w:lvl>
    <w:lvl w:ilvl="3">
      <w:start w:val="0"/>
      <w:numFmt w:val="bullet"/>
      <w:lvlText w:val="•"/>
      <w:lvlJc w:val="left"/>
      <w:pPr>
        <w:ind w:left="3924" w:hanging="312"/>
      </w:pPr>
      <w:rPr>
        <w:rFonts w:hint="default"/>
        <w:lang w:val="tr-TR" w:eastAsia="tr-TR" w:bidi="tr-TR"/>
      </w:rPr>
    </w:lvl>
    <w:lvl w:ilvl="4">
      <w:start w:val="0"/>
      <w:numFmt w:val="bullet"/>
      <w:lvlText w:val="•"/>
      <w:lvlJc w:val="left"/>
      <w:pPr>
        <w:ind w:left="4892" w:hanging="312"/>
      </w:pPr>
      <w:rPr>
        <w:rFonts w:hint="default"/>
        <w:lang w:val="tr-TR" w:eastAsia="tr-TR" w:bidi="tr-TR"/>
      </w:rPr>
    </w:lvl>
    <w:lvl w:ilvl="5">
      <w:start w:val="0"/>
      <w:numFmt w:val="bullet"/>
      <w:lvlText w:val="•"/>
      <w:lvlJc w:val="left"/>
      <w:pPr>
        <w:ind w:left="5860" w:hanging="312"/>
      </w:pPr>
      <w:rPr>
        <w:rFonts w:hint="default"/>
        <w:lang w:val="tr-TR" w:eastAsia="tr-TR" w:bidi="tr-TR"/>
      </w:rPr>
    </w:lvl>
    <w:lvl w:ilvl="6">
      <w:start w:val="0"/>
      <w:numFmt w:val="bullet"/>
      <w:lvlText w:val="•"/>
      <w:lvlJc w:val="left"/>
      <w:pPr>
        <w:ind w:left="6828" w:hanging="312"/>
      </w:pPr>
      <w:rPr>
        <w:rFonts w:hint="default"/>
        <w:lang w:val="tr-TR" w:eastAsia="tr-TR" w:bidi="tr-TR"/>
      </w:rPr>
    </w:lvl>
    <w:lvl w:ilvl="7">
      <w:start w:val="0"/>
      <w:numFmt w:val="bullet"/>
      <w:lvlText w:val="•"/>
      <w:lvlJc w:val="left"/>
      <w:pPr>
        <w:ind w:left="7796" w:hanging="312"/>
      </w:pPr>
      <w:rPr>
        <w:rFonts w:hint="default"/>
        <w:lang w:val="tr-TR" w:eastAsia="tr-TR" w:bidi="tr-TR"/>
      </w:rPr>
    </w:lvl>
    <w:lvl w:ilvl="8">
      <w:start w:val="0"/>
      <w:numFmt w:val="bullet"/>
      <w:lvlText w:val="•"/>
      <w:lvlJc w:val="left"/>
      <w:pPr>
        <w:ind w:left="8764" w:hanging="312"/>
      </w:pPr>
      <w:rPr>
        <w:rFonts w:hint="default"/>
        <w:lang w:val="tr-TR" w:eastAsia="tr-TR" w:bidi="tr-TR"/>
      </w:rPr>
    </w:lvl>
  </w:abstractNum>
  <w:abstractNum w:abstractNumId="116">
    <w:multiLevelType w:val="hybridMultilevel"/>
    <w:lvl w:ilvl="0">
      <w:start w:val="1"/>
      <w:numFmt w:val="decimal"/>
      <w:lvlText w:val="%1."/>
      <w:lvlJc w:val="left"/>
      <w:pPr>
        <w:ind w:left="726" w:hanging="248"/>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48"/>
      </w:pPr>
      <w:rPr>
        <w:rFonts w:hint="default"/>
        <w:lang w:val="tr-TR" w:eastAsia="tr-TR" w:bidi="tr-TR"/>
      </w:rPr>
    </w:lvl>
    <w:lvl w:ilvl="2">
      <w:start w:val="0"/>
      <w:numFmt w:val="bullet"/>
      <w:lvlText w:val="•"/>
      <w:lvlJc w:val="left"/>
      <w:pPr>
        <w:ind w:left="2716" w:hanging="248"/>
      </w:pPr>
      <w:rPr>
        <w:rFonts w:hint="default"/>
        <w:lang w:val="tr-TR" w:eastAsia="tr-TR" w:bidi="tr-TR"/>
      </w:rPr>
    </w:lvl>
    <w:lvl w:ilvl="3">
      <w:start w:val="0"/>
      <w:numFmt w:val="bullet"/>
      <w:lvlText w:val="•"/>
      <w:lvlJc w:val="left"/>
      <w:pPr>
        <w:ind w:left="3714" w:hanging="248"/>
      </w:pPr>
      <w:rPr>
        <w:rFonts w:hint="default"/>
        <w:lang w:val="tr-TR" w:eastAsia="tr-TR" w:bidi="tr-TR"/>
      </w:rPr>
    </w:lvl>
    <w:lvl w:ilvl="4">
      <w:start w:val="0"/>
      <w:numFmt w:val="bullet"/>
      <w:lvlText w:val="•"/>
      <w:lvlJc w:val="left"/>
      <w:pPr>
        <w:ind w:left="4712" w:hanging="248"/>
      </w:pPr>
      <w:rPr>
        <w:rFonts w:hint="default"/>
        <w:lang w:val="tr-TR" w:eastAsia="tr-TR" w:bidi="tr-TR"/>
      </w:rPr>
    </w:lvl>
    <w:lvl w:ilvl="5">
      <w:start w:val="0"/>
      <w:numFmt w:val="bullet"/>
      <w:lvlText w:val="•"/>
      <w:lvlJc w:val="left"/>
      <w:pPr>
        <w:ind w:left="5710" w:hanging="248"/>
      </w:pPr>
      <w:rPr>
        <w:rFonts w:hint="default"/>
        <w:lang w:val="tr-TR" w:eastAsia="tr-TR" w:bidi="tr-TR"/>
      </w:rPr>
    </w:lvl>
    <w:lvl w:ilvl="6">
      <w:start w:val="0"/>
      <w:numFmt w:val="bullet"/>
      <w:lvlText w:val="•"/>
      <w:lvlJc w:val="left"/>
      <w:pPr>
        <w:ind w:left="6708" w:hanging="248"/>
      </w:pPr>
      <w:rPr>
        <w:rFonts w:hint="default"/>
        <w:lang w:val="tr-TR" w:eastAsia="tr-TR" w:bidi="tr-TR"/>
      </w:rPr>
    </w:lvl>
    <w:lvl w:ilvl="7">
      <w:start w:val="0"/>
      <w:numFmt w:val="bullet"/>
      <w:lvlText w:val="•"/>
      <w:lvlJc w:val="left"/>
      <w:pPr>
        <w:ind w:left="7706" w:hanging="248"/>
      </w:pPr>
      <w:rPr>
        <w:rFonts w:hint="default"/>
        <w:lang w:val="tr-TR" w:eastAsia="tr-TR" w:bidi="tr-TR"/>
      </w:rPr>
    </w:lvl>
    <w:lvl w:ilvl="8">
      <w:start w:val="0"/>
      <w:numFmt w:val="bullet"/>
      <w:lvlText w:val="•"/>
      <w:lvlJc w:val="left"/>
      <w:pPr>
        <w:ind w:left="8704" w:hanging="248"/>
      </w:pPr>
      <w:rPr>
        <w:rFonts w:hint="default"/>
        <w:lang w:val="tr-TR" w:eastAsia="tr-TR" w:bidi="tr-TR"/>
      </w:rPr>
    </w:lvl>
  </w:abstractNum>
  <w:abstractNum w:abstractNumId="115">
    <w:multiLevelType w:val="hybridMultilevel"/>
    <w:lvl w:ilvl="0">
      <w:start w:val="1"/>
      <w:numFmt w:val="lowerLetter"/>
      <w:lvlText w:val="(%1)"/>
      <w:lvlJc w:val="left"/>
      <w:pPr>
        <w:ind w:left="1022" w:hanging="360"/>
        <w:jc w:val="left"/>
      </w:pPr>
      <w:rPr>
        <w:rFonts w:hint="default" w:ascii="Arial" w:hAnsi="Arial" w:eastAsia="Arial" w:cs="Arial"/>
        <w:w w:val="99"/>
        <w:sz w:val="20"/>
        <w:szCs w:val="20"/>
        <w:lang w:val="tr-TR" w:eastAsia="tr-TR" w:bidi="tr-TR"/>
      </w:rPr>
    </w:lvl>
    <w:lvl w:ilvl="1">
      <w:start w:val="0"/>
      <w:numFmt w:val="bullet"/>
      <w:lvlText w:val="•"/>
      <w:lvlJc w:val="left"/>
      <w:pPr>
        <w:ind w:left="1988" w:hanging="360"/>
      </w:pPr>
      <w:rPr>
        <w:rFonts w:hint="default"/>
        <w:lang w:val="tr-TR" w:eastAsia="tr-TR" w:bidi="tr-TR"/>
      </w:rPr>
    </w:lvl>
    <w:lvl w:ilvl="2">
      <w:start w:val="0"/>
      <w:numFmt w:val="bullet"/>
      <w:lvlText w:val="•"/>
      <w:lvlJc w:val="left"/>
      <w:pPr>
        <w:ind w:left="2956" w:hanging="360"/>
      </w:pPr>
      <w:rPr>
        <w:rFonts w:hint="default"/>
        <w:lang w:val="tr-TR" w:eastAsia="tr-TR" w:bidi="tr-TR"/>
      </w:rPr>
    </w:lvl>
    <w:lvl w:ilvl="3">
      <w:start w:val="0"/>
      <w:numFmt w:val="bullet"/>
      <w:lvlText w:val="•"/>
      <w:lvlJc w:val="left"/>
      <w:pPr>
        <w:ind w:left="3924" w:hanging="360"/>
      </w:pPr>
      <w:rPr>
        <w:rFonts w:hint="default"/>
        <w:lang w:val="tr-TR" w:eastAsia="tr-TR" w:bidi="tr-TR"/>
      </w:rPr>
    </w:lvl>
    <w:lvl w:ilvl="4">
      <w:start w:val="0"/>
      <w:numFmt w:val="bullet"/>
      <w:lvlText w:val="•"/>
      <w:lvlJc w:val="left"/>
      <w:pPr>
        <w:ind w:left="4892" w:hanging="360"/>
      </w:pPr>
      <w:rPr>
        <w:rFonts w:hint="default"/>
        <w:lang w:val="tr-TR" w:eastAsia="tr-TR" w:bidi="tr-TR"/>
      </w:rPr>
    </w:lvl>
    <w:lvl w:ilvl="5">
      <w:start w:val="0"/>
      <w:numFmt w:val="bullet"/>
      <w:lvlText w:val="•"/>
      <w:lvlJc w:val="left"/>
      <w:pPr>
        <w:ind w:left="5860" w:hanging="360"/>
      </w:pPr>
      <w:rPr>
        <w:rFonts w:hint="default"/>
        <w:lang w:val="tr-TR" w:eastAsia="tr-TR" w:bidi="tr-TR"/>
      </w:rPr>
    </w:lvl>
    <w:lvl w:ilvl="6">
      <w:start w:val="0"/>
      <w:numFmt w:val="bullet"/>
      <w:lvlText w:val="•"/>
      <w:lvlJc w:val="left"/>
      <w:pPr>
        <w:ind w:left="6828" w:hanging="360"/>
      </w:pPr>
      <w:rPr>
        <w:rFonts w:hint="default"/>
        <w:lang w:val="tr-TR" w:eastAsia="tr-TR" w:bidi="tr-TR"/>
      </w:rPr>
    </w:lvl>
    <w:lvl w:ilvl="7">
      <w:start w:val="0"/>
      <w:numFmt w:val="bullet"/>
      <w:lvlText w:val="•"/>
      <w:lvlJc w:val="left"/>
      <w:pPr>
        <w:ind w:left="7796" w:hanging="360"/>
      </w:pPr>
      <w:rPr>
        <w:rFonts w:hint="default"/>
        <w:lang w:val="tr-TR" w:eastAsia="tr-TR" w:bidi="tr-TR"/>
      </w:rPr>
    </w:lvl>
    <w:lvl w:ilvl="8">
      <w:start w:val="0"/>
      <w:numFmt w:val="bullet"/>
      <w:lvlText w:val="•"/>
      <w:lvlJc w:val="left"/>
      <w:pPr>
        <w:ind w:left="8764" w:hanging="360"/>
      </w:pPr>
      <w:rPr>
        <w:rFonts w:hint="default"/>
        <w:lang w:val="tr-TR" w:eastAsia="tr-TR" w:bidi="tr-TR"/>
      </w:rPr>
    </w:lvl>
  </w:abstractNum>
  <w:abstractNum w:abstractNumId="114">
    <w:multiLevelType w:val="hybridMultilevel"/>
    <w:lvl w:ilvl="0">
      <w:start w:val="3"/>
      <w:numFmt w:val="decimal"/>
      <w:lvlText w:val="%1."/>
      <w:lvlJc w:val="left"/>
      <w:pPr>
        <w:ind w:left="726" w:hanging="279"/>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79"/>
      </w:pPr>
      <w:rPr>
        <w:rFonts w:hint="default"/>
        <w:lang w:val="tr-TR" w:eastAsia="tr-TR" w:bidi="tr-TR"/>
      </w:rPr>
    </w:lvl>
    <w:lvl w:ilvl="2">
      <w:start w:val="0"/>
      <w:numFmt w:val="bullet"/>
      <w:lvlText w:val="•"/>
      <w:lvlJc w:val="left"/>
      <w:pPr>
        <w:ind w:left="2716" w:hanging="279"/>
      </w:pPr>
      <w:rPr>
        <w:rFonts w:hint="default"/>
        <w:lang w:val="tr-TR" w:eastAsia="tr-TR" w:bidi="tr-TR"/>
      </w:rPr>
    </w:lvl>
    <w:lvl w:ilvl="3">
      <w:start w:val="0"/>
      <w:numFmt w:val="bullet"/>
      <w:lvlText w:val="•"/>
      <w:lvlJc w:val="left"/>
      <w:pPr>
        <w:ind w:left="3714" w:hanging="279"/>
      </w:pPr>
      <w:rPr>
        <w:rFonts w:hint="default"/>
        <w:lang w:val="tr-TR" w:eastAsia="tr-TR" w:bidi="tr-TR"/>
      </w:rPr>
    </w:lvl>
    <w:lvl w:ilvl="4">
      <w:start w:val="0"/>
      <w:numFmt w:val="bullet"/>
      <w:lvlText w:val="•"/>
      <w:lvlJc w:val="left"/>
      <w:pPr>
        <w:ind w:left="4712" w:hanging="279"/>
      </w:pPr>
      <w:rPr>
        <w:rFonts w:hint="default"/>
        <w:lang w:val="tr-TR" w:eastAsia="tr-TR" w:bidi="tr-TR"/>
      </w:rPr>
    </w:lvl>
    <w:lvl w:ilvl="5">
      <w:start w:val="0"/>
      <w:numFmt w:val="bullet"/>
      <w:lvlText w:val="•"/>
      <w:lvlJc w:val="left"/>
      <w:pPr>
        <w:ind w:left="5710" w:hanging="279"/>
      </w:pPr>
      <w:rPr>
        <w:rFonts w:hint="default"/>
        <w:lang w:val="tr-TR" w:eastAsia="tr-TR" w:bidi="tr-TR"/>
      </w:rPr>
    </w:lvl>
    <w:lvl w:ilvl="6">
      <w:start w:val="0"/>
      <w:numFmt w:val="bullet"/>
      <w:lvlText w:val="•"/>
      <w:lvlJc w:val="left"/>
      <w:pPr>
        <w:ind w:left="6708" w:hanging="279"/>
      </w:pPr>
      <w:rPr>
        <w:rFonts w:hint="default"/>
        <w:lang w:val="tr-TR" w:eastAsia="tr-TR" w:bidi="tr-TR"/>
      </w:rPr>
    </w:lvl>
    <w:lvl w:ilvl="7">
      <w:start w:val="0"/>
      <w:numFmt w:val="bullet"/>
      <w:lvlText w:val="•"/>
      <w:lvlJc w:val="left"/>
      <w:pPr>
        <w:ind w:left="7706" w:hanging="279"/>
      </w:pPr>
      <w:rPr>
        <w:rFonts w:hint="default"/>
        <w:lang w:val="tr-TR" w:eastAsia="tr-TR" w:bidi="tr-TR"/>
      </w:rPr>
    </w:lvl>
    <w:lvl w:ilvl="8">
      <w:start w:val="0"/>
      <w:numFmt w:val="bullet"/>
      <w:lvlText w:val="•"/>
      <w:lvlJc w:val="left"/>
      <w:pPr>
        <w:ind w:left="8704" w:hanging="279"/>
      </w:pPr>
      <w:rPr>
        <w:rFonts w:hint="default"/>
        <w:lang w:val="tr-TR" w:eastAsia="tr-TR" w:bidi="tr-TR"/>
      </w:rPr>
    </w:lvl>
  </w:abstractNum>
  <w:abstractNum w:abstractNumId="113">
    <w:multiLevelType w:val="hybridMultilevel"/>
    <w:lvl w:ilvl="0">
      <w:start w:val="1"/>
      <w:numFmt w:val="lowerLetter"/>
      <w:lvlText w:val="(%1)"/>
      <w:lvlJc w:val="left"/>
      <w:pPr>
        <w:ind w:left="1022" w:hanging="358"/>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58"/>
      </w:pPr>
      <w:rPr>
        <w:rFonts w:hint="default"/>
        <w:lang w:val="tr-TR" w:eastAsia="tr-TR" w:bidi="tr-TR"/>
      </w:rPr>
    </w:lvl>
    <w:lvl w:ilvl="2">
      <w:start w:val="0"/>
      <w:numFmt w:val="bullet"/>
      <w:lvlText w:val="•"/>
      <w:lvlJc w:val="left"/>
      <w:pPr>
        <w:ind w:left="2956" w:hanging="358"/>
      </w:pPr>
      <w:rPr>
        <w:rFonts w:hint="default"/>
        <w:lang w:val="tr-TR" w:eastAsia="tr-TR" w:bidi="tr-TR"/>
      </w:rPr>
    </w:lvl>
    <w:lvl w:ilvl="3">
      <w:start w:val="0"/>
      <w:numFmt w:val="bullet"/>
      <w:lvlText w:val="•"/>
      <w:lvlJc w:val="left"/>
      <w:pPr>
        <w:ind w:left="3924" w:hanging="358"/>
      </w:pPr>
      <w:rPr>
        <w:rFonts w:hint="default"/>
        <w:lang w:val="tr-TR" w:eastAsia="tr-TR" w:bidi="tr-TR"/>
      </w:rPr>
    </w:lvl>
    <w:lvl w:ilvl="4">
      <w:start w:val="0"/>
      <w:numFmt w:val="bullet"/>
      <w:lvlText w:val="•"/>
      <w:lvlJc w:val="left"/>
      <w:pPr>
        <w:ind w:left="4892" w:hanging="358"/>
      </w:pPr>
      <w:rPr>
        <w:rFonts w:hint="default"/>
        <w:lang w:val="tr-TR" w:eastAsia="tr-TR" w:bidi="tr-TR"/>
      </w:rPr>
    </w:lvl>
    <w:lvl w:ilvl="5">
      <w:start w:val="0"/>
      <w:numFmt w:val="bullet"/>
      <w:lvlText w:val="•"/>
      <w:lvlJc w:val="left"/>
      <w:pPr>
        <w:ind w:left="5860" w:hanging="358"/>
      </w:pPr>
      <w:rPr>
        <w:rFonts w:hint="default"/>
        <w:lang w:val="tr-TR" w:eastAsia="tr-TR" w:bidi="tr-TR"/>
      </w:rPr>
    </w:lvl>
    <w:lvl w:ilvl="6">
      <w:start w:val="0"/>
      <w:numFmt w:val="bullet"/>
      <w:lvlText w:val="•"/>
      <w:lvlJc w:val="left"/>
      <w:pPr>
        <w:ind w:left="6828" w:hanging="358"/>
      </w:pPr>
      <w:rPr>
        <w:rFonts w:hint="default"/>
        <w:lang w:val="tr-TR" w:eastAsia="tr-TR" w:bidi="tr-TR"/>
      </w:rPr>
    </w:lvl>
    <w:lvl w:ilvl="7">
      <w:start w:val="0"/>
      <w:numFmt w:val="bullet"/>
      <w:lvlText w:val="•"/>
      <w:lvlJc w:val="left"/>
      <w:pPr>
        <w:ind w:left="7796" w:hanging="358"/>
      </w:pPr>
      <w:rPr>
        <w:rFonts w:hint="default"/>
        <w:lang w:val="tr-TR" w:eastAsia="tr-TR" w:bidi="tr-TR"/>
      </w:rPr>
    </w:lvl>
    <w:lvl w:ilvl="8">
      <w:start w:val="0"/>
      <w:numFmt w:val="bullet"/>
      <w:lvlText w:val="•"/>
      <w:lvlJc w:val="left"/>
      <w:pPr>
        <w:ind w:left="8764" w:hanging="358"/>
      </w:pPr>
      <w:rPr>
        <w:rFonts w:hint="default"/>
        <w:lang w:val="tr-TR" w:eastAsia="tr-TR" w:bidi="tr-TR"/>
      </w:rPr>
    </w:lvl>
  </w:abstractNum>
  <w:abstractNum w:abstractNumId="112">
    <w:multiLevelType w:val="hybridMultilevel"/>
    <w:lvl w:ilvl="0">
      <w:start w:val="1"/>
      <w:numFmt w:val="decimal"/>
      <w:lvlText w:val="%1."/>
      <w:lvlJc w:val="left"/>
      <w:pPr>
        <w:ind w:left="726" w:hanging="24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40"/>
      </w:pPr>
      <w:rPr>
        <w:rFonts w:hint="default"/>
        <w:lang w:val="tr-TR" w:eastAsia="tr-TR" w:bidi="tr-TR"/>
      </w:rPr>
    </w:lvl>
    <w:lvl w:ilvl="2">
      <w:start w:val="0"/>
      <w:numFmt w:val="bullet"/>
      <w:lvlText w:val="•"/>
      <w:lvlJc w:val="left"/>
      <w:pPr>
        <w:ind w:left="2716" w:hanging="240"/>
      </w:pPr>
      <w:rPr>
        <w:rFonts w:hint="default"/>
        <w:lang w:val="tr-TR" w:eastAsia="tr-TR" w:bidi="tr-TR"/>
      </w:rPr>
    </w:lvl>
    <w:lvl w:ilvl="3">
      <w:start w:val="0"/>
      <w:numFmt w:val="bullet"/>
      <w:lvlText w:val="•"/>
      <w:lvlJc w:val="left"/>
      <w:pPr>
        <w:ind w:left="3714" w:hanging="240"/>
      </w:pPr>
      <w:rPr>
        <w:rFonts w:hint="default"/>
        <w:lang w:val="tr-TR" w:eastAsia="tr-TR" w:bidi="tr-TR"/>
      </w:rPr>
    </w:lvl>
    <w:lvl w:ilvl="4">
      <w:start w:val="0"/>
      <w:numFmt w:val="bullet"/>
      <w:lvlText w:val="•"/>
      <w:lvlJc w:val="left"/>
      <w:pPr>
        <w:ind w:left="4712" w:hanging="240"/>
      </w:pPr>
      <w:rPr>
        <w:rFonts w:hint="default"/>
        <w:lang w:val="tr-TR" w:eastAsia="tr-TR" w:bidi="tr-TR"/>
      </w:rPr>
    </w:lvl>
    <w:lvl w:ilvl="5">
      <w:start w:val="0"/>
      <w:numFmt w:val="bullet"/>
      <w:lvlText w:val="•"/>
      <w:lvlJc w:val="left"/>
      <w:pPr>
        <w:ind w:left="5710" w:hanging="240"/>
      </w:pPr>
      <w:rPr>
        <w:rFonts w:hint="default"/>
        <w:lang w:val="tr-TR" w:eastAsia="tr-TR" w:bidi="tr-TR"/>
      </w:rPr>
    </w:lvl>
    <w:lvl w:ilvl="6">
      <w:start w:val="0"/>
      <w:numFmt w:val="bullet"/>
      <w:lvlText w:val="•"/>
      <w:lvlJc w:val="left"/>
      <w:pPr>
        <w:ind w:left="6708" w:hanging="240"/>
      </w:pPr>
      <w:rPr>
        <w:rFonts w:hint="default"/>
        <w:lang w:val="tr-TR" w:eastAsia="tr-TR" w:bidi="tr-TR"/>
      </w:rPr>
    </w:lvl>
    <w:lvl w:ilvl="7">
      <w:start w:val="0"/>
      <w:numFmt w:val="bullet"/>
      <w:lvlText w:val="•"/>
      <w:lvlJc w:val="left"/>
      <w:pPr>
        <w:ind w:left="7706" w:hanging="240"/>
      </w:pPr>
      <w:rPr>
        <w:rFonts w:hint="default"/>
        <w:lang w:val="tr-TR" w:eastAsia="tr-TR" w:bidi="tr-TR"/>
      </w:rPr>
    </w:lvl>
    <w:lvl w:ilvl="8">
      <w:start w:val="0"/>
      <w:numFmt w:val="bullet"/>
      <w:lvlText w:val="•"/>
      <w:lvlJc w:val="left"/>
      <w:pPr>
        <w:ind w:left="8704" w:hanging="240"/>
      </w:pPr>
      <w:rPr>
        <w:rFonts w:hint="default"/>
        <w:lang w:val="tr-TR" w:eastAsia="tr-TR" w:bidi="tr-TR"/>
      </w:rPr>
    </w:lvl>
  </w:abstractNum>
  <w:abstractNum w:abstractNumId="111">
    <w:multiLevelType w:val="hybridMultilevel"/>
    <w:lvl w:ilvl="0">
      <w:start w:val="1"/>
      <w:numFmt w:val="decimal"/>
      <w:lvlText w:val="%1."/>
      <w:lvlJc w:val="left"/>
      <w:pPr>
        <w:ind w:left="726" w:hanging="24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43"/>
      </w:pPr>
      <w:rPr>
        <w:rFonts w:hint="default"/>
        <w:lang w:val="tr-TR" w:eastAsia="tr-TR" w:bidi="tr-TR"/>
      </w:rPr>
    </w:lvl>
    <w:lvl w:ilvl="2">
      <w:start w:val="0"/>
      <w:numFmt w:val="bullet"/>
      <w:lvlText w:val="•"/>
      <w:lvlJc w:val="left"/>
      <w:pPr>
        <w:ind w:left="2716" w:hanging="243"/>
      </w:pPr>
      <w:rPr>
        <w:rFonts w:hint="default"/>
        <w:lang w:val="tr-TR" w:eastAsia="tr-TR" w:bidi="tr-TR"/>
      </w:rPr>
    </w:lvl>
    <w:lvl w:ilvl="3">
      <w:start w:val="0"/>
      <w:numFmt w:val="bullet"/>
      <w:lvlText w:val="•"/>
      <w:lvlJc w:val="left"/>
      <w:pPr>
        <w:ind w:left="3714" w:hanging="243"/>
      </w:pPr>
      <w:rPr>
        <w:rFonts w:hint="default"/>
        <w:lang w:val="tr-TR" w:eastAsia="tr-TR" w:bidi="tr-TR"/>
      </w:rPr>
    </w:lvl>
    <w:lvl w:ilvl="4">
      <w:start w:val="0"/>
      <w:numFmt w:val="bullet"/>
      <w:lvlText w:val="•"/>
      <w:lvlJc w:val="left"/>
      <w:pPr>
        <w:ind w:left="4712" w:hanging="243"/>
      </w:pPr>
      <w:rPr>
        <w:rFonts w:hint="default"/>
        <w:lang w:val="tr-TR" w:eastAsia="tr-TR" w:bidi="tr-TR"/>
      </w:rPr>
    </w:lvl>
    <w:lvl w:ilvl="5">
      <w:start w:val="0"/>
      <w:numFmt w:val="bullet"/>
      <w:lvlText w:val="•"/>
      <w:lvlJc w:val="left"/>
      <w:pPr>
        <w:ind w:left="5710" w:hanging="243"/>
      </w:pPr>
      <w:rPr>
        <w:rFonts w:hint="default"/>
        <w:lang w:val="tr-TR" w:eastAsia="tr-TR" w:bidi="tr-TR"/>
      </w:rPr>
    </w:lvl>
    <w:lvl w:ilvl="6">
      <w:start w:val="0"/>
      <w:numFmt w:val="bullet"/>
      <w:lvlText w:val="•"/>
      <w:lvlJc w:val="left"/>
      <w:pPr>
        <w:ind w:left="6708" w:hanging="243"/>
      </w:pPr>
      <w:rPr>
        <w:rFonts w:hint="default"/>
        <w:lang w:val="tr-TR" w:eastAsia="tr-TR" w:bidi="tr-TR"/>
      </w:rPr>
    </w:lvl>
    <w:lvl w:ilvl="7">
      <w:start w:val="0"/>
      <w:numFmt w:val="bullet"/>
      <w:lvlText w:val="•"/>
      <w:lvlJc w:val="left"/>
      <w:pPr>
        <w:ind w:left="7706" w:hanging="243"/>
      </w:pPr>
      <w:rPr>
        <w:rFonts w:hint="default"/>
        <w:lang w:val="tr-TR" w:eastAsia="tr-TR" w:bidi="tr-TR"/>
      </w:rPr>
    </w:lvl>
    <w:lvl w:ilvl="8">
      <w:start w:val="0"/>
      <w:numFmt w:val="bullet"/>
      <w:lvlText w:val="•"/>
      <w:lvlJc w:val="left"/>
      <w:pPr>
        <w:ind w:left="8704" w:hanging="243"/>
      </w:pPr>
      <w:rPr>
        <w:rFonts w:hint="default"/>
        <w:lang w:val="tr-TR" w:eastAsia="tr-TR" w:bidi="tr-TR"/>
      </w:rPr>
    </w:lvl>
  </w:abstractNum>
  <w:abstractNum w:abstractNumId="110">
    <w:multiLevelType w:val="hybridMultilevel"/>
    <w:lvl w:ilvl="0">
      <w:start w:val="1"/>
      <w:numFmt w:val="lowerLetter"/>
      <w:lvlText w:val="(%1)"/>
      <w:lvlJc w:val="left"/>
      <w:pPr>
        <w:ind w:left="808"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90" w:hanging="300"/>
      </w:pPr>
      <w:rPr>
        <w:rFonts w:hint="default"/>
        <w:lang w:val="tr-TR" w:eastAsia="tr-TR" w:bidi="tr-TR"/>
      </w:rPr>
    </w:lvl>
    <w:lvl w:ilvl="2">
      <w:start w:val="0"/>
      <w:numFmt w:val="bullet"/>
      <w:lvlText w:val="•"/>
      <w:lvlJc w:val="left"/>
      <w:pPr>
        <w:ind w:left="2780" w:hanging="300"/>
      </w:pPr>
      <w:rPr>
        <w:rFonts w:hint="default"/>
        <w:lang w:val="tr-TR" w:eastAsia="tr-TR" w:bidi="tr-TR"/>
      </w:rPr>
    </w:lvl>
    <w:lvl w:ilvl="3">
      <w:start w:val="0"/>
      <w:numFmt w:val="bullet"/>
      <w:lvlText w:val="•"/>
      <w:lvlJc w:val="left"/>
      <w:pPr>
        <w:ind w:left="3770" w:hanging="300"/>
      </w:pPr>
      <w:rPr>
        <w:rFonts w:hint="default"/>
        <w:lang w:val="tr-TR" w:eastAsia="tr-TR" w:bidi="tr-TR"/>
      </w:rPr>
    </w:lvl>
    <w:lvl w:ilvl="4">
      <w:start w:val="0"/>
      <w:numFmt w:val="bullet"/>
      <w:lvlText w:val="•"/>
      <w:lvlJc w:val="left"/>
      <w:pPr>
        <w:ind w:left="4760" w:hanging="300"/>
      </w:pPr>
      <w:rPr>
        <w:rFonts w:hint="default"/>
        <w:lang w:val="tr-TR" w:eastAsia="tr-TR" w:bidi="tr-TR"/>
      </w:rPr>
    </w:lvl>
    <w:lvl w:ilvl="5">
      <w:start w:val="0"/>
      <w:numFmt w:val="bullet"/>
      <w:lvlText w:val="•"/>
      <w:lvlJc w:val="left"/>
      <w:pPr>
        <w:ind w:left="5750" w:hanging="300"/>
      </w:pPr>
      <w:rPr>
        <w:rFonts w:hint="default"/>
        <w:lang w:val="tr-TR" w:eastAsia="tr-TR" w:bidi="tr-TR"/>
      </w:rPr>
    </w:lvl>
    <w:lvl w:ilvl="6">
      <w:start w:val="0"/>
      <w:numFmt w:val="bullet"/>
      <w:lvlText w:val="•"/>
      <w:lvlJc w:val="left"/>
      <w:pPr>
        <w:ind w:left="6740" w:hanging="300"/>
      </w:pPr>
      <w:rPr>
        <w:rFonts w:hint="default"/>
        <w:lang w:val="tr-TR" w:eastAsia="tr-TR" w:bidi="tr-TR"/>
      </w:rPr>
    </w:lvl>
    <w:lvl w:ilvl="7">
      <w:start w:val="0"/>
      <w:numFmt w:val="bullet"/>
      <w:lvlText w:val="•"/>
      <w:lvlJc w:val="left"/>
      <w:pPr>
        <w:ind w:left="7730" w:hanging="300"/>
      </w:pPr>
      <w:rPr>
        <w:rFonts w:hint="default"/>
        <w:lang w:val="tr-TR" w:eastAsia="tr-TR" w:bidi="tr-TR"/>
      </w:rPr>
    </w:lvl>
    <w:lvl w:ilvl="8">
      <w:start w:val="0"/>
      <w:numFmt w:val="bullet"/>
      <w:lvlText w:val="•"/>
      <w:lvlJc w:val="left"/>
      <w:pPr>
        <w:ind w:left="8720" w:hanging="300"/>
      </w:pPr>
      <w:rPr>
        <w:rFonts w:hint="default"/>
        <w:lang w:val="tr-TR" w:eastAsia="tr-TR" w:bidi="tr-TR"/>
      </w:rPr>
    </w:lvl>
  </w:abstractNum>
  <w:abstractNum w:abstractNumId="109">
    <w:multiLevelType w:val="hybridMultilevel"/>
    <w:lvl w:ilvl="0">
      <w:start w:val="1"/>
      <w:numFmt w:val="decimal"/>
      <w:lvlText w:val="%1."/>
      <w:lvlJc w:val="left"/>
      <w:pPr>
        <w:ind w:left="726" w:hanging="245"/>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45"/>
      </w:pPr>
      <w:rPr>
        <w:rFonts w:hint="default"/>
        <w:lang w:val="tr-TR" w:eastAsia="tr-TR" w:bidi="tr-TR"/>
      </w:rPr>
    </w:lvl>
    <w:lvl w:ilvl="2">
      <w:start w:val="0"/>
      <w:numFmt w:val="bullet"/>
      <w:lvlText w:val="•"/>
      <w:lvlJc w:val="left"/>
      <w:pPr>
        <w:ind w:left="2716" w:hanging="245"/>
      </w:pPr>
      <w:rPr>
        <w:rFonts w:hint="default"/>
        <w:lang w:val="tr-TR" w:eastAsia="tr-TR" w:bidi="tr-TR"/>
      </w:rPr>
    </w:lvl>
    <w:lvl w:ilvl="3">
      <w:start w:val="0"/>
      <w:numFmt w:val="bullet"/>
      <w:lvlText w:val="•"/>
      <w:lvlJc w:val="left"/>
      <w:pPr>
        <w:ind w:left="3714" w:hanging="245"/>
      </w:pPr>
      <w:rPr>
        <w:rFonts w:hint="default"/>
        <w:lang w:val="tr-TR" w:eastAsia="tr-TR" w:bidi="tr-TR"/>
      </w:rPr>
    </w:lvl>
    <w:lvl w:ilvl="4">
      <w:start w:val="0"/>
      <w:numFmt w:val="bullet"/>
      <w:lvlText w:val="•"/>
      <w:lvlJc w:val="left"/>
      <w:pPr>
        <w:ind w:left="4712" w:hanging="245"/>
      </w:pPr>
      <w:rPr>
        <w:rFonts w:hint="default"/>
        <w:lang w:val="tr-TR" w:eastAsia="tr-TR" w:bidi="tr-TR"/>
      </w:rPr>
    </w:lvl>
    <w:lvl w:ilvl="5">
      <w:start w:val="0"/>
      <w:numFmt w:val="bullet"/>
      <w:lvlText w:val="•"/>
      <w:lvlJc w:val="left"/>
      <w:pPr>
        <w:ind w:left="5710" w:hanging="245"/>
      </w:pPr>
      <w:rPr>
        <w:rFonts w:hint="default"/>
        <w:lang w:val="tr-TR" w:eastAsia="tr-TR" w:bidi="tr-TR"/>
      </w:rPr>
    </w:lvl>
    <w:lvl w:ilvl="6">
      <w:start w:val="0"/>
      <w:numFmt w:val="bullet"/>
      <w:lvlText w:val="•"/>
      <w:lvlJc w:val="left"/>
      <w:pPr>
        <w:ind w:left="6708" w:hanging="245"/>
      </w:pPr>
      <w:rPr>
        <w:rFonts w:hint="default"/>
        <w:lang w:val="tr-TR" w:eastAsia="tr-TR" w:bidi="tr-TR"/>
      </w:rPr>
    </w:lvl>
    <w:lvl w:ilvl="7">
      <w:start w:val="0"/>
      <w:numFmt w:val="bullet"/>
      <w:lvlText w:val="•"/>
      <w:lvlJc w:val="left"/>
      <w:pPr>
        <w:ind w:left="7706" w:hanging="245"/>
      </w:pPr>
      <w:rPr>
        <w:rFonts w:hint="default"/>
        <w:lang w:val="tr-TR" w:eastAsia="tr-TR" w:bidi="tr-TR"/>
      </w:rPr>
    </w:lvl>
    <w:lvl w:ilvl="8">
      <w:start w:val="0"/>
      <w:numFmt w:val="bullet"/>
      <w:lvlText w:val="•"/>
      <w:lvlJc w:val="left"/>
      <w:pPr>
        <w:ind w:left="8704" w:hanging="245"/>
      </w:pPr>
      <w:rPr>
        <w:rFonts w:hint="default"/>
        <w:lang w:val="tr-TR" w:eastAsia="tr-TR" w:bidi="tr-TR"/>
      </w:rPr>
    </w:lvl>
  </w:abstractNum>
  <w:abstractNum w:abstractNumId="108">
    <w:multiLevelType w:val="hybridMultilevel"/>
    <w:lvl w:ilvl="0">
      <w:start w:val="1"/>
      <w:numFmt w:val="decimal"/>
      <w:lvlText w:val="%1."/>
      <w:lvlJc w:val="left"/>
      <w:pPr>
        <w:ind w:left="726" w:hanging="255"/>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55"/>
      </w:pPr>
      <w:rPr>
        <w:rFonts w:hint="default"/>
        <w:lang w:val="tr-TR" w:eastAsia="tr-TR" w:bidi="tr-TR"/>
      </w:rPr>
    </w:lvl>
    <w:lvl w:ilvl="2">
      <w:start w:val="0"/>
      <w:numFmt w:val="bullet"/>
      <w:lvlText w:val="•"/>
      <w:lvlJc w:val="left"/>
      <w:pPr>
        <w:ind w:left="2716" w:hanging="255"/>
      </w:pPr>
      <w:rPr>
        <w:rFonts w:hint="default"/>
        <w:lang w:val="tr-TR" w:eastAsia="tr-TR" w:bidi="tr-TR"/>
      </w:rPr>
    </w:lvl>
    <w:lvl w:ilvl="3">
      <w:start w:val="0"/>
      <w:numFmt w:val="bullet"/>
      <w:lvlText w:val="•"/>
      <w:lvlJc w:val="left"/>
      <w:pPr>
        <w:ind w:left="3714" w:hanging="255"/>
      </w:pPr>
      <w:rPr>
        <w:rFonts w:hint="default"/>
        <w:lang w:val="tr-TR" w:eastAsia="tr-TR" w:bidi="tr-TR"/>
      </w:rPr>
    </w:lvl>
    <w:lvl w:ilvl="4">
      <w:start w:val="0"/>
      <w:numFmt w:val="bullet"/>
      <w:lvlText w:val="•"/>
      <w:lvlJc w:val="left"/>
      <w:pPr>
        <w:ind w:left="4712" w:hanging="255"/>
      </w:pPr>
      <w:rPr>
        <w:rFonts w:hint="default"/>
        <w:lang w:val="tr-TR" w:eastAsia="tr-TR" w:bidi="tr-TR"/>
      </w:rPr>
    </w:lvl>
    <w:lvl w:ilvl="5">
      <w:start w:val="0"/>
      <w:numFmt w:val="bullet"/>
      <w:lvlText w:val="•"/>
      <w:lvlJc w:val="left"/>
      <w:pPr>
        <w:ind w:left="5710" w:hanging="255"/>
      </w:pPr>
      <w:rPr>
        <w:rFonts w:hint="default"/>
        <w:lang w:val="tr-TR" w:eastAsia="tr-TR" w:bidi="tr-TR"/>
      </w:rPr>
    </w:lvl>
    <w:lvl w:ilvl="6">
      <w:start w:val="0"/>
      <w:numFmt w:val="bullet"/>
      <w:lvlText w:val="•"/>
      <w:lvlJc w:val="left"/>
      <w:pPr>
        <w:ind w:left="6708" w:hanging="255"/>
      </w:pPr>
      <w:rPr>
        <w:rFonts w:hint="default"/>
        <w:lang w:val="tr-TR" w:eastAsia="tr-TR" w:bidi="tr-TR"/>
      </w:rPr>
    </w:lvl>
    <w:lvl w:ilvl="7">
      <w:start w:val="0"/>
      <w:numFmt w:val="bullet"/>
      <w:lvlText w:val="•"/>
      <w:lvlJc w:val="left"/>
      <w:pPr>
        <w:ind w:left="7706" w:hanging="255"/>
      </w:pPr>
      <w:rPr>
        <w:rFonts w:hint="default"/>
        <w:lang w:val="tr-TR" w:eastAsia="tr-TR" w:bidi="tr-TR"/>
      </w:rPr>
    </w:lvl>
    <w:lvl w:ilvl="8">
      <w:start w:val="0"/>
      <w:numFmt w:val="bullet"/>
      <w:lvlText w:val="•"/>
      <w:lvlJc w:val="left"/>
      <w:pPr>
        <w:ind w:left="8704" w:hanging="255"/>
      </w:pPr>
      <w:rPr>
        <w:rFonts w:hint="default"/>
        <w:lang w:val="tr-TR" w:eastAsia="tr-TR" w:bidi="tr-TR"/>
      </w:rPr>
    </w:lvl>
  </w:abstractNum>
  <w:abstractNum w:abstractNumId="107">
    <w:multiLevelType w:val="hybridMultilevel"/>
    <w:lvl w:ilvl="0">
      <w:start w:val="9"/>
      <w:numFmt w:val="lowerLetter"/>
      <w:lvlText w:val="(%1)"/>
      <w:lvlJc w:val="left"/>
      <w:pPr>
        <w:ind w:left="959" w:hanging="233"/>
        <w:jc w:val="left"/>
      </w:pPr>
      <w:rPr>
        <w:rFonts w:hint="default" w:ascii="Arial" w:hAnsi="Arial" w:eastAsia="Arial" w:cs="Arial"/>
        <w:spacing w:val="-2"/>
        <w:w w:val="99"/>
        <w:sz w:val="20"/>
        <w:szCs w:val="20"/>
        <w:lang w:val="tr-TR" w:eastAsia="tr-TR" w:bidi="tr-TR"/>
      </w:rPr>
    </w:lvl>
    <w:lvl w:ilvl="1">
      <w:start w:val="0"/>
      <w:numFmt w:val="bullet"/>
      <w:lvlText w:val="•"/>
      <w:lvlJc w:val="left"/>
      <w:pPr>
        <w:ind w:left="1934" w:hanging="233"/>
      </w:pPr>
      <w:rPr>
        <w:rFonts w:hint="default"/>
        <w:lang w:val="tr-TR" w:eastAsia="tr-TR" w:bidi="tr-TR"/>
      </w:rPr>
    </w:lvl>
    <w:lvl w:ilvl="2">
      <w:start w:val="0"/>
      <w:numFmt w:val="bullet"/>
      <w:lvlText w:val="•"/>
      <w:lvlJc w:val="left"/>
      <w:pPr>
        <w:ind w:left="2908" w:hanging="233"/>
      </w:pPr>
      <w:rPr>
        <w:rFonts w:hint="default"/>
        <w:lang w:val="tr-TR" w:eastAsia="tr-TR" w:bidi="tr-TR"/>
      </w:rPr>
    </w:lvl>
    <w:lvl w:ilvl="3">
      <w:start w:val="0"/>
      <w:numFmt w:val="bullet"/>
      <w:lvlText w:val="•"/>
      <w:lvlJc w:val="left"/>
      <w:pPr>
        <w:ind w:left="3882" w:hanging="233"/>
      </w:pPr>
      <w:rPr>
        <w:rFonts w:hint="default"/>
        <w:lang w:val="tr-TR" w:eastAsia="tr-TR" w:bidi="tr-TR"/>
      </w:rPr>
    </w:lvl>
    <w:lvl w:ilvl="4">
      <w:start w:val="0"/>
      <w:numFmt w:val="bullet"/>
      <w:lvlText w:val="•"/>
      <w:lvlJc w:val="left"/>
      <w:pPr>
        <w:ind w:left="4856" w:hanging="233"/>
      </w:pPr>
      <w:rPr>
        <w:rFonts w:hint="default"/>
        <w:lang w:val="tr-TR" w:eastAsia="tr-TR" w:bidi="tr-TR"/>
      </w:rPr>
    </w:lvl>
    <w:lvl w:ilvl="5">
      <w:start w:val="0"/>
      <w:numFmt w:val="bullet"/>
      <w:lvlText w:val="•"/>
      <w:lvlJc w:val="left"/>
      <w:pPr>
        <w:ind w:left="5830" w:hanging="233"/>
      </w:pPr>
      <w:rPr>
        <w:rFonts w:hint="default"/>
        <w:lang w:val="tr-TR" w:eastAsia="tr-TR" w:bidi="tr-TR"/>
      </w:rPr>
    </w:lvl>
    <w:lvl w:ilvl="6">
      <w:start w:val="0"/>
      <w:numFmt w:val="bullet"/>
      <w:lvlText w:val="•"/>
      <w:lvlJc w:val="left"/>
      <w:pPr>
        <w:ind w:left="6804" w:hanging="233"/>
      </w:pPr>
      <w:rPr>
        <w:rFonts w:hint="default"/>
        <w:lang w:val="tr-TR" w:eastAsia="tr-TR" w:bidi="tr-TR"/>
      </w:rPr>
    </w:lvl>
    <w:lvl w:ilvl="7">
      <w:start w:val="0"/>
      <w:numFmt w:val="bullet"/>
      <w:lvlText w:val="•"/>
      <w:lvlJc w:val="left"/>
      <w:pPr>
        <w:ind w:left="7778" w:hanging="233"/>
      </w:pPr>
      <w:rPr>
        <w:rFonts w:hint="default"/>
        <w:lang w:val="tr-TR" w:eastAsia="tr-TR" w:bidi="tr-TR"/>
      </w:rPr>
    </w:lvl>
    <w:lvl w:ilvl="8">
      <w:start w:val="0"/>
      <w:numFmt w:val="bullet"/>
      <w:lvlText w:val="•"/>
      <w:lvlJc w:val="left"/>
      <w:pPr>
        <w:ind w:left="8752" w:hanging="233"/>
      </w:pPr>
      <w:rPr>
        <w:rFonts w:hint="default"/>
        <w:lang w:val="tr-TR" w:eastAsia="tr-TR" w:bidi="tr-TR"/>
      </w:rPr>
    </w:lvl>
  </w:abstractNum>
  <w:abstractNum w:abstractNumId="106">
    <w:multiLevelType w:val="hybridMultilevel"/>
    <w:lvl w:ilvl="0">
      <w:start w:val="5"/>
      <w:numFmt w:val="lowerLetter"/>
      <w:lvlText w:val="(%1)"/>
      <w:lvlJc w:val="left"/>
      <w:pPr>
        <w:ind w:left="726"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300"/>
      </w:pPr>
      <w:rPr>
        <w:rFonts w:hint="default"/>
        <w:lang w:val="tr-TR" w:eastAsia="tr-TR" w:bidi="tr-TR"/>
      </w:rPr>
    </w:lvl>
    <w:lvl w:ilvl="2">
      <w:start w:val="0"/>
      <w:numFmt w:val="bullet"/>
      <w:lvlText w:val="•"/>
      <w:lvlJc w:val="left"/>
      <w:pPr>
        <w:ind w:left="2716" w:hanging="300"/>
      </w:pPr>
      <w:rPr>
        <w:rFonts w:hint="default"/>
        <w:lang w:val="tr-TR" w:eastAsia="tr-TR" w:bidi="tr-TR"/>
      </w:rPr>
    </w:lvl>
    <w:lvl w:ilvl="3">
      <w:start w:val="0"/>
      <w:numFmt w:val="bullet"/>
      <w:lvlText w:val="•"/>
      <w:lvlJc w:val="left"/>
      <w:pPr>
        <w:ind w:left="3714" w:hanging="300"/>
      </w:pPr>
      <w:rPr>
        <w:rFonts w:hint="default"/>
        <w:lang w:val="tr-TR" w:eastAsia="tr-TR" w:bidi="tr-TR"/>
      </w:rPr>
    </w:lvl>
    <w:lvl w:ilvl="4">
      <w:start w:val="0"/>
      <w:numFmt w:val="bullet"/>
      <w:lvlText w:val="•"/>
      <w:lvlJc w:val="left"/>
      <w:pPr>
        <w:ind w:left="4712" w:hanging="300"/>
      </w:pPr>
      <w:rPr>
        <w:rFonts w:hint="default"/>
        <w:lang w:val="tr-TR" w:eastAsia="tr-TR" w:bidi="tr-TR"/>
      </w:rPr>
    </w:lvl>
    <w:lvl w:ilvl="5">
      <w:start w:val="0"/>
      <w:numFmt w:val="bullet"/>
      <w:lvlText w:val="•"/>
      <w:lvlJc w:val="left"/>
      <w:pPr>
        <w:ind w:left="5710" w:hanging="300"/>
      </w:pPr>
      <w:rPr>
        <w:rFonts w:hint="default"/>
        <w:lang w:val="tr-TR" w:eastAsia="tr-TR" w:bidi="tr-TR"/>
      </w:rPr>
    </w:lvl>
    <w:lvl w:ilvl="6">
      <w:start w:val="0"/>
      <w:numFmt w:val="bullet"/>
      <w:lvlText w:val="•"/>
      <w:lvlJc w:val="left"/>
      <w:pPr>
        <w:ind w:left="6708" w:hanging="300"/>
      </w:pPr>
      <w:rPr>
        <w:rFonts w:hint="default"/>
        <w:lang w:val="tr-TR" w:eastAsia="tr-TR" w:bidi="tr-TR"/>
      </w:rPr>
    </w:lvl>
    <w:lvl w:ilvl="7">
      <w:start w:val="0"/>
      <w:numFmt w:val="bullet"/>
      <w:lvlText w:val="•"/>
      <w:lvlJc w:val="left"/>
      <w:pPr>
        <w:ind w:left="7706" w:hanging="300"/>
      </w:pPr>
      <w:rPr>
        <w:rFonts w:hint="default"/>
        <w:lang w:val="tr-TR" w:eastAsia="tr-TR" w:bidi="tr-TR"/>
      </w:rPr>
    </w:lvl>
    <w:lvl w:ilvl="8">
      <w:start w:val="0"/>
      <w:numFmt w:val="bullet"/>
      <w:lvlText w:val="•"/>
      <w:lvlJc w:val="left"/>
      <w:pPr>
        <w:ind w:left="8704" w:hanging="300"/>
      </w:pPr>
      <w:rPr>
        <w:rFonts w:hint="default"/>
        <w:lang w:val="tr-TR" w:eastAsia="tr-TR" w:bidi="tr-TR"/>
      </w:rPr>
    </w:lvl>
  </w:abstractNum>
  <w:abstractNum w:abstractNumId="105">
    <w:multiLevelType w:val="hybridMultilevel"/>
    <w:lvl w:ilvl="0">
      <w:start w:val="1"/>
      <w:numFmt w:val="lowerLetter"/>
      <w:lvlText w:val="(%1)"/>
      <w:lvlJc w:val="left"/>
      <w:pPr>
        <w:ind w:left="726" w:hanging="401"/>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401"/>
      </w:pPr>
      <w:rPr>
        <w:rFonts w:hint="default"/>
        <w:lang w:val="tr-TR" w:eastAsia="tr-TR" w:bidi="tr-TR"/>
      </w:rPr>
    </w:lvl>
    <w:lvl w:ilvl="2">
      <w:start w:val="0"/>
      <w:numFmt w:val="bullet"/>
      <w:lvlText w:val="•"/>
      <w:lvlJc w:val="left"/>
      <w:pPr>
        <w:ind w:left="2716" w:hanging="401"/>
      </w:pPr>
      <w:rPr>
        <w:rFonts w:hint="default"/>
        <w:lang w:val="tr-TR" w:eastAsia="tr-TR" w:bidi="tr-TR"/>
      </w:rPr>
    </w:lvl>
    <w:lvl w:ilvl="3">
      <w:start w:val="0"/>
      <w:numFmt w:val="bullet"/>
      <w:lvlText w:val="•"/>
      <w:lvlJc w:val="left"/>
      <w:pPr>
        <w:ind w:left="3714" w:hanging="401"/>
      </w:pPr>
      <w:rPr>
        <w:rFonts w:hint="default"/>
        <w:lang w:val="tr-TR" w:eastAsia="tr-TR" w:bidi="tr-TR"/>
      </w:rPr>
    </w:lvl>
    <w:lvl w:ilvl="4">
      <w:start w:val="0"/>
      <w:numFmt w:val="bullet"/>
      <w:lvlText w:val="•"/>
      <w:lvlJc w:val="left"/>
      <w:pPr>
        <w:ind w:left="4712" w:hanging="401"/>
      </w:pPr>
      <w:rPr>
        <w:rFonts w:hint="default"/>
        <w:lang w:val="tr-TR" w:eastAsia="tr-TR" w:bidi="tr-TR"/>
      </w:rPr>
    </w:lvl>
    <w:lvl w:ilvl="5">
      <w:start w:val="0"/>
      <w:numFmt w:val="bullet"/>
      <w:lvlText w:val="•"/>
      <w:lvlJc w:val="left"/>
      <w:pPr>
        <w:ind w:left="5710" w:hanging="401"/>
      </w:pPr>
      <w:rPr>
        <w:rFonts w:hint="default"/>
        <w:lang w:val="tr-TR" w:eastAsia="tr-TR" w:bidi="tr-TR"/>
      </w:rPr>
    </w:lvl>
    <w:lvl w:ilvl="6">
      <w:start w:val="0"/>
      <w:numFmt w:val="bullet"/>
      <w:lvlText w:val="•"/>
      <w:lvlJc w:val="left"/>
      <w:pPr>
        <w:ind w:left="6708" w:hanging="401"/>
      </w:pPr>
      <w:rPr>
        <w:rFonts w:hint="default"/>
        <w:lang w:val="tr-TR" w:eastAsia="tr-TR" w:bidi="tr-TR"/>
      </w:rPr>
    </w:lvl>
    <w:lvl w:ilvl="7">
      <w:start w:val="0"/>
      <w:numFmt w:val="bullet"/>
      <w:lvlText w:val="•"/>
      <w:lvlJc w:val="left"/>
      <w:pPr>
        <w:ind w:left="7706" w:hanging="401"/>
      </w:pPr>
      <w:rPr>
        <w:rFonts w:hint="default"/>
        <w:lang w:val="tr-TR" w:eastAsia="tr-TR" w:bidi="tr-TR"/>
      </w:rPr>
    </w:lvl>
    <w:lvl w:ilvl="8">
      <w:start w:val="0"/>
      <w:numFmt w:val="bullet"/>
      <w:lvlText w:val="•"/>
      <w:lvlJc w:val="left"/>
      <w:pPr>
        <w:ind w:left="8704" w:hanging="401"/>
      </w:pPr>
      <w:rPr>
        <w:rFonts w:hint="default"/>
        <w:lang w:val="tr-TR" w:eastAsia="tr-TR" w:bidi="tr-TR"/>
      </w:rPr>
    </w:lvl>
  </w:abstractNum>
  <w:abstractNum w:abstractNumId="104">
    <w:multiLevelType w:val="hybridMultilevel"/>
    <w:lvl w:ilvl="0">
      <w:start w:val="7"/>
      <w:numFmt w:val="lowerLetter"/>
      <w:lvlText w:val="(%1)"/>
      <w:lvlJc w:val="left"/>
      <w:pPr>
        <w:ind w:left="1024" w:hanging="312"/>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12"/>
      </w:pPr>
      <w:rPr>
        <w:rFonts w:hint="default"/>
        <w:lang w:val="tr-TR" w:eastAsia="tr-TR" w:bidi="tr-TR"/>
      </w:rPr>
    </w:lvl>
    <w:lvl w:ilvl="2">
      <w:start w:val="0"/>
      <w:numFmt w:val="bullet"/>
      <w:lvlText w:val="•"/>
      <w:lvlJc w:val="left"/>
      <w:pPr>
        <w:ind w:left="2956" w:hanging="312"/>
      </w:pPr>
      <w:rPr>
        <w:rFonts w:hint="default"/>
        <w:lang w:val="tr-TR" w:eastAsia="tr-TR" w:bidi="tr-TR"/>
      </w:rPr>
    </w:lvl>
    <w:lvl w:ilvl="3">
      <w:start w:val="0"/>
      <w:numFmt w:val="bullet"/>
      <w:lvlText w:val="•"/>
      <w:lvlJc w:val="left"/>
      <w:pPr>
        <w:ind w:left="3924" w:hanging="312"/>
      </w:pPr>
      <w:rPr>
        <w:rFonts w:hint="default"/>
        <w:lang w:val="tr-TR" w:eastAsia="tr-TR" w:bidi="tr-TR"/>
      </w:rPr>
    </w:lvl>
    <w:lvl w:ilvl="4">
      <w:start w:val="0"/>
      <w:numFmt w:val="bullet"/>
      <w:lvlText w:val="•"/>
      <w:lvlJc w:val="left"/>
      <w:pPr>
        <w:ind w:left="4892" w:hanging="312"/>
      </w:pPr>
      <w:rPr>
        <w:rFonts w:hint="default"/>
        <w:lang w:val="tr-TR" w:eastAsia="tr-TR" w:bidi="tr-TR"/>
      </w:rPr>
    </w:lvl>
    <w:lvl w:ilvl="5">
      <w:start w:val="0"/>
      <w:numFmt w:val="bullet"/>
      <w:lvlText w:val="•"/>
      <w:lvlJc w:val="left"/>
      <w:pPr>
        <w:ind w:left="5860" w:hanging="312"/>
      </w:pPr>
      <w:rPr>
        <w:rFonts w:hint="default"/>
        <w:lang w:val="tr-TR" w:eastAsia="tr-TR" w:bidi="tr-TR"/>
      </w:rPr>
    </w:lvl>
    <w:lvl w:ilvl="6">
      <w:start w:val="0"/>
      <w:numFmt w:val="bullet"/>
      <w:lvlText w:val="•"/>
      <w:lvlJc w:val="left"/>
      <w:pPr>
        <w:ind w:left="6828" w:hanging="312"/>
      </w:pPr>
      <w:rPr>
        <w:rFonts w:hint="default"/>
        <w:lang w:val="tr-TR" w:eastAsia="tr-TR" w:bidi="tr-TR"/>
      </w:rPr>
    </w:lvl>
    <w:lvl w:ilvl="7">
      <w:start w:val="0"/>
      <w:numFmt w:val="bullet"/>
      <w:lvlText w:val="•"/>
      <w:lvlJc w:val="left"/>
      <w:pPr>
        <w:ind w:left="7796" w:hanging="312"/>
      </w:pPr>
      <w:rPr>
        <w:rFonts w:hint="default"/>
        <w:lang w:val="tr-TR" w:eastAsia="tr-TR" w:bidi="tr-TR"/>
      </w:rPr>
    </w:lvl>
    <w:lvl w:ilvl="8">
      <w:start w:val="0"/>
      <w:numFmt w:val="bullet"/>
      <w:lvlText w:val="•"/>
      <w:lvlJc w:val="left"/>
      <w:pPr>
        <w:ind w:left="8764" w:hanging="312"/>
      </w:pPr>
      <w:rPr>
        <w:rFonts w:hint="default"/>
        <w:lang w:val="tr-TR" w:eastAsia="tr-TR" w:bidi="tr-TR"/>
      </w:rPr>
    </w:lvl>
  </w:abstractNum>
  <w:abstractNum w:abstractNumId="103">
    <w:multiLevelType w:val="hybridMultilevel"/>
    <w:lvl w:ilvl="0">
      <w:start w:val="1"/>
      <w:numFmt w:val="lowerLetter"/>
      <w:lvlText w:val="(%1)"/>
      <w:lvlJc w:val="left"/>
      <w:pPr>
        <w:ind w:left="1024"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102">
    <w:multiLevelType w:val="hybridMultilevel"/>
    <w:lvl w:ilvl="0">
      <w:start w:val="1"/>
      <w:numFmt w:val="lowerLetter"/>
      <w:lvlText w:val="(%1)"/>
      <w:lvlJc w:val="left"/>
      <w:pPr>
        <w:ind w:left="1022"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101">
    <w:multiLevelType w:val="hybridMultilevel"/>
    <w:lvl w:ilvl="0">
      <w:start w:val="1"/>
      <w:numFmt w:val="decimal"/>
      <w:lvlText w:val="%1."/>
      <w:lvlJc w:val="left"/>
      <w:pPr>
        <w:ind w:left="726" w:hanging="221"/>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21"/>
      </w:pPr>
      <w:rPr>
        <w:rFonts w:hint="default"/>
        <w:lang w:val="tr-TR" w:eastAsia="tr-TR" w:bidi="tr-TR"/>
      </w:rPr>
    </w:lvl>
    <w:lvl w:ilvl="2">
      <w:start w:val="0"/>
      <w:numFmt w:val="bullet"/>
      <w:lvlText w:val="•"/>
      <w:lvlJc w:val="left"/>
      <w:pPr>
        <w:ind w:left="2716" w:hanging="221"/>
      </w:pPr>
      <w:rPr>
        <w:rFonts w:hint="default"/>
        <w:lang w:val="tr-TR" w:eastAsia="tr-TR" w:bidi="tr-TR"/>
      </w:rPr>
    </w:lvl>
    <w:lvl w:ilvl="3">
      <w:start w:val="0"/>
      <w:numFmt w:val="bullet"/>
      <w:lvlText w:val="•"/>
      <w:lvlJc w:val="left"/>
      <w:pPr>
        <w:ind w:left="3714" w:hanging="221"/>
      </w:pPr>
      <w:rPr>
        <w:rFonts w:hint="default"/>
        <w:lang w:val="tr-TR" w:eastAsia="tr-TR" w:bidi="tr-TR"/>
      </w:rPr>
    </w:lvl>
    <w:lvl w:ilvl="4">
      <w:start w:val="0"/>
      <w:numFmt w:val="bullet"/>
      <w:lvlText w:val="•"/>
      <w:lvlJc w:val="left"/>
      <w:pPr>
        <w:ind w:left="4712" w:hanging="221"/>
      </w:pPr>
      <w:rPr>
        <w:rFonts w:hint="default"/>
        <w:lang w:val="tr-TR" w:eastAsia="tr-TR" w:bidi="tr-TR"/>
      </w:rPr>
    </w:lvl>
    <w:lvl w:ilvl="5">
      <w:start w:val="0"/>
      <w:numFmt w:val="bullet"/>
      <w:lvlText w:val="•"/>
      <w:lvlJc w:val="left"/>
      <w:pPr>
        <w:ind w:left="5710" w:hanging="221"/>
      </w:pPr>
      <w:rPr>
        <w:rFonts w:hint="default"/>
        <w:lang w:val="tr-TR" w:eastAsia="tr-TR" w:bidi="tr-TR"/>
      </w:rPr>
    </w:lvl>
    <w:lvl w:ilvl="6">
      <w:start w:val="0"/>
      <w:numFmt w:val="bullet"/>
      <w:lvlText w:val="•"/>
      <w:lvlJc w:val="left"/>
      <w:pPr>
        <w:ind w:left="6708" w:hanging="221"/>
      </w:pPr>
      <w:rPr>
        <w:rFonts w:hint="default"/>
        <w:lang w:val="tr-TR" w:eastAsia="tr-TR" w:bidi="tr-TR"/>
      </w:rPr>
    </w:lvl>
    <w:lvl w:ilvl="7">
      <w:start w:val="0"/>
      <w:numFmt w:val="bullet"/>
      <w:lvlText w:val="•"/>
      <w:lvlJc w:val="left"/>
      <w:pPr>
        <w:ind w:left="7706" w:hanging="221"/>
      </w:pPr>
      <w:rPr>
        <w:rFonts w:hint="default"/>
        <w:lang w:val="tr-TR" w:eastAsia="tr-TR" w:bidi="tr-TR"/>
      </w:rPr>
    </w:lvl>
    <w:lvl w:ilvl="8">
      <w:start w:val="0"/>
      <w:numFmt w:val="bullet"/>
      <w:lvlText w:val="•"/>
      <w:lvlJc w:val="left"/>
      <w:pPr>
        <w:ind w:left="8704" w:hanging="221"/>
      </w:pPr>
      <w:rPr>
        <w:rFonts w:hint="default"/>
        <w:lang w:val="tr-TR" w:eastAsia="tr-TR" w:bidi="tr-TR"/>
      </w:rPr>
    </w:lvl>
  </w:abstractNum>
  <w:abstractNum w:abstractNumId="100">
    <w:multiLevelType w:val="hybridMultilevel"/>
    <w:lvl w:ilvl="0">
      <w:start w:val="1"/>
      <w:numFmt w:val="lowerLetter"/>
      <w:lvlText w:val="(%1)"/>
      <w:lvlJc w:val="left"/>
      <w:pPr>
        <w:ind w:left="726"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300"/>
      </w:pPr>
      <w:rPr>
        <w:rFonts w:hint="default"/>
        <w:lang w:val="tr-TR" w:eastAsia="tr-TR" w:bidi="tr-TR"/>
      </w:rPr>
    </w:lvl>
    <w:lvl w:ilvl="2">
      <w:start w:val="0"/>
      <w:numFmt w:val="bullet"/>
      <w:lvlText w:val="•"/>
      <w:lvlJc w:val="left"/>
      <w:pPr>
        <w:ind w:left="2716" w:hanging="300"/>
      </w:pPr>
      <w:rPr>
        <w:rFonts w:hint="default"/>
        <w:lang w:val="tr-TR" w:eastAsia="tr-TR" w:bidi="tr-TR"/>
      </w:rPr>
    </w:lvl>
    <w:lvl w:ilvl="3">
      <w:start w:val="0"/>
      <w:numFmt w:val="bullet"/>
      <w:lvlText w:val="•"/>
      <w:lvlJc w:val="left"/>
      <w:pPr>
        <w:ind w:left="3714" w:hanging="300"/>
      </w:pPr>
      <w:rPr>
        <w:rFonts w:hint="default"/>
        <w:lang w:val="tr-TR" w:eastAsia="tr-TR" w:bidi="tr-TR"/>
      </w:rPr>
    </w:lvl>
    <w:lvl w:ilvl="4">
      <w:start w:val="0"/>
      <w:numFmt w:val="bullet"/>
      <w:lvlText w:val="•"/>
      <w:lvlJc w:val="left"/>
      <w:pPr>
        <w:ind w:left="4712" w:hanging="300"/>
      </w:pPr>
      <w:rPr>
        <w:rFonts w:hint="default"/>
        <w:lang w:val="tr-TR" w:eastAsia="tr-TR" w:bidi="tr-TR"/>
      </w:rPr>
    </w:lvl>
    <w:lvl w:ilvl="5">
      <w:start w:val="0"/>
      <w:numFmt w:val="bullet"/>
      <w:lvlText w:val="•"/>
      <w:lvlJc w:val="left"/>
      <w:pPr>
        <w:ind w:left="5710" w:hanging="300"/>
      </w:pPr>
      <w:rPr>
        <w:rFonts w:hint="default"/>
        <w:lang w:val="tr-TR" w:eastAsia="tr-TR" w:bidi="tr-TR"/>
      </w:rPr>
    </w:lvl>
    <w:lvl w:ilvl="6">
      <w:start w:val="0"/>
      <w:numFmt w:val="bullet"/>
      <w:lvlText w:val="•"/>
      <w:lvlJc w:val="left"/>
      <w:pPr>
        <w:ind w:left="6708" w:hanging="300"/>
      </w:pPr>
      <w:rPr>
        <w:rFonts w:hint="default"/>
        <w:lang w:val="tr-TR" w:eastAsia="tr-TR" w:bidi="tr-TR"/>
      </w:rPr>
    </w:lvl>
    <w:lvl w:ilvl="7">
      <w:start w:val="0"/>
      <w:numFmt w:val="bullet"/>
      <w:lvlText w:val="•"/>
      <w:lvlJc w:val="left"/>
      <w:pPr>
        <w:ind w:left="7706" w:hanging="300"/>
      </w:pPr>
      <w:rPr>
        <w:rFonts w:hint="default"/>
        <w:lang w:val="tr-TR" w:eastAsia="tr-TR" w:bidi="tr-TR"/>
      </w:rPr>
    </w:lvl>
    <w:lvl w:ilvl="8">
      <w:start w:val="0"/>
      <w:numFmt w:val="bullet"/>
      <w:lvlText w:val="•"/>
      <w:lvlJc w:val="left"/>
      <w:pPr>
        <w:ind w:left="8704" w:hanging="300"/>
      </w:pPr>
      <w:rPr>
        <w:rFonts w:hint="default"/>
        <w:lang w:val="tr-TR" w:eastAsia="tr-TR" w:bidi="tr-TR"/>
      </w:rPr>
    </w:lvl>
  </w:abstractNum>
  <w:abstractNum w:abstractNumId="99">
    <w:multiLevelType w:val="hybridMultilevel"/>
    <w:lvl w:ilvl="0">
      <w:start w:val="1"/>
      <w:numFmt w:val="decimal"/>
      <w:lvlText w:val="%1."/>
      <w:lvlJc w:val="left"/>
      <w:pPr>
        <w:ind w:left="726" w:hanging="221"/>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21"/>
      </w:pPr>
      <w:rPr>
        <w:rFonts w:hint="default"/>
        <w:lang w:val="tr-TR" w:eastAsia="tr-TR" w:bidi="tr-TR"/>
      </w:rPr>
    </w:lvl>
    <w:lvl w:ilvl="2">
      <w:start w:val="0"/>
      <w:numFmt w:val="bullet"/>
      <w:lvlText w:val="•"/>
      <w:lvlJc w:val="left"/>
      <w:pPr>
        <w:ind w:left="2716" w:hanging="221"/>
      </w:pPr>
      <w:rPr>
        <w:rFonts w:hint="default"/>
        <w:lang w:val="tr-TR" w:eastAsia="tr-TR" w:bidi="tr-TR"/>
      </w:rPr>
    </w:lvl>
    <w:lvl w:ilvl="3">
      <w:start w:val="0"/>
      <w:numFmt w:val="bullet"/>
      <w:lvlText w:val="•"/>
      <w:lvlJc w:val="left"/>
      <w:pPr>
        <w:ind w:left="3714" w:hanging="221"/>
      </w:pPr>
      <w:rPr>
        <w:rFonts w:hint="default"/>
        <w:lang w:val="tr-TR" w:eastAsia="tr-TR" w:bidi="tr-TR"/>
      </w:rPr>
    </w:lvl>
    <w:lvl w:ilvl="4">
      <w:start w:val="0"/>
      <w:numFmt w:val="bullet"/>
      <w:lvlText w:val="•"/>
      <w:lvlJc w:val="left"/>
      <w:pPr>
        <w:ind w:left="4712" w:hanging="221"/>
      </w:pPr>
      <w:rPr>
        <w:rFonts w:hint="default"/>
        <w:lang w:val="tr-TR" w:eastAsia="tr-TR" w:bidi="tr-TR"/>
      </w:rPr>
    </w:lvl>
    <w:lvl w:ilvl="5">
      <w:start w:val="0"/>
      <w:numFmt w:val="bullet"/>
      <w:lvlText w:val="•"/>
      <w:lvlJc w:val="left"/>
      <w:pPr>
        <w:ind w:left="5710" w:hanging="221"/>
      </w:pPr>
      <w:rPr>
        <w:rFonts w:hint="default"/>
        <w:lang w:val="tr-TR" w:eastAsia="tr-TR" w:bidi="tr-TR"/>
      </w:rPr>
    </w:lvl>
    <w:lvl w:ilvl="6">
      <w:start w:val="0"/>
      <w:numFmt w:val="bullet"/>
      <w:lvlText w:val="•"/>
      <w:lvlJc w:val="left"/>
      <w:pPr>
        <w:ind w:left="6708" w:hanging="221"/>
      </w:pPr>
      <w:rPr>
        <w:rFonts w:hint="default"/>
        <w:lang w:val="tr-TR" w:eastAsia="tr-TR" w:bidi="tr-TR"/>
      </w:rPr>
    </w:lvl>
    <w:lvl w:ilvl="7">
      <w:start w:val="0"/>
      <w:numFmt w:val="bullet"/>
      <w:lvlText w:val="•"/>
      <w:lvlJc w:val="left"/>
      <w:pPr>
        <w:ind w:left="7706" w:hanging="221"/>
      </w:pPr>
      <w:rPr>
        <w:rFonts w:hint="default"/>
        <w:lang w:val="tr-TR" w:eastAsia="tr-TR" w:bidi="tr-TR"/>
      </w:rPr>
    </w:lvl>
    <w:lvl w:ilvl="8">
      <w:start w:val="0"/>
      <w:numFmt w:val="bullet"/>
      <w:lvlText w:val="•"/>
      <w:lvlJc w:val="left"/>
      <w:pPr>
        <w:ind w:left="8704" w:hanging="221"/>
      </w:pPr>
      <w:rPr>
        <w:rFonts w:hint="default"/>
        <w:lang w:val="tr-TR" w:eastAsia="tr-TR" w:bidi="tr-TR"/>
      </w:rPr>
    </w:lvl>
  </w:abstractNum>
  <w:abstractNum w:abstractNumId="98">
    <w:multiLevelType w:val="hybridMultilevel"/>
    <w:lvl w:ilvl="0">
      <w:start w:val="1"/>
      <w:numFmt w:val="decimal"/>
      <w:lvlText w:val="%1."/>
      <w:lvlJc w:val="left"/>
      <w:pPr>
        <w:ind w:left="726" w:hanging="276"/>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76"/>
      </w:pPr>
      <w:rPr>
        <w:rFonts w:hint="default"/>
        <w:lang w:val="tr-TR" w:eastAsia="tr-TR" w:bidi="tr-TR"/>
      </w:rPr>
    </w:lvl>
    <w:lvl w:ilvl="2">
      <w:start w:val="0"/>
      <w:numFmt w:val="bullet"/>
      <w:lvlText w:val="•"/>
      <w:lvlJc w:val="left"/>
      <w:pPr>
        <w:ind w:left="2716" w:hanging="276"/>
      </w:pPr>
      <w:rPr>
        <w:rFonts w:hint="default"/>
        <w:lang w:val="tr-TR" w:eastAsia="tr-TR" w:bidi="tr-TR"/>
      </w:rPr>
    </w:lvl>
    <w:lvl w:ilvl="3">
      <w:start w:val="0"/>
      <w:numFmt w:val="bullet"/>
      <w:lvlText w:val="•"/>
      <w:lvlJc w:val="left"/>
      <w:pPr>
        <w:ind w:left="3714" w:hanging="276"/>
      </w:pPr>
      <w:rPr>
        <w:rFonts w:hint="default"/>
        <w:lang w:val="tr-TR" w:eastAsia="tr-TR" w:bidi="tr-TR"/>
      </w:rPr>
    </w:lvl>
    <w:lvl w:ilvl="4">
      <w:start w:val="0"/>
      <w:numFmt w:val="bullet"/>
      <w:lvlText w:val="•"/>
      <w:lvlJc w:val="left"/>
      <w:pPr>
        <w:ind w:left="4712" w:hanging="276"/>
      </w:pPr>
      <w:rPr>
        <w:rFonts w:hint="default"/>
        <w:lang w:val="tr-TR" w:eastAsia="tr-TR" w:bidi="tr-TR"/>
      </w:rPr>
    </w:lvl>
    <w:lvl w:ilvl="5">
      <w:start w:val="0"/>
      <w:numFmt w:val="bullet"/>
      <w:lvlText w:val="•"/>
      <w:lvlJc w:val="left"/>
      <w:pPr>
        <w:ind w:left="5710" w:hanging="276"/>
      </w:pPr>
      <w:rPr>
        <w:rFonts w:hint="default"/>
        <w:lang w:val="tr-TR" w:eastAsia="tr-TR" w:bidi="tr-TR"/>
      </w:rPr>
    </w:lvl>
    <w:lvl w:ilvl="6">
      <w:start w:val="0"/>
      <w:numFmt w:val="bullet"/>
      <w:lvlText w:val="•"/>
      <w:lvlJc w:val="left"/>
      <w:pPr>
        <w:ind w:left="6708" w:hanging="276"/>
      </w:pPr>
      <w:rPr>
        <w:rFonts w:hint="default"/>
        <w:lang w:val="tr-TR" w:eastAsia="tr-TR" w:bidi="tr-TR"/>
      </w:rPr>
    </w:lvl>
    <w:lvl w:ilvl="7">
      <w:start w:val="0"/>
      <w:numFmt w:val="bullet"/>
      <w:lvlText w:val="•"/>
      <w:lvlJc w:val="left"/>
      <w:pPr>
        <w:ind w:left="7706" w:hanging="276"/>
      </w:pPr>
      <w:rPr>
        <w:rFonts w:hint="default"/>
        <w:lang w:val="tr-TR" w:eastAsia="tr-TR" w:bidi="tr-TR"/>
      </w:rPr>
    </w:lvl>
    <w:lvl w:ilvl="8">
      <w:start w:val="0"/>
      <w:numFmt w:val="bullet"/>
      <w:lvlText w:val="•"/>
      <w:lvlJc w:val="left"/>
      <w:pPr>
        <w:ind w:left="8704" w:hanging="276"/>
      </w:pPr>
      <w:rPr>
        <w:rFonts w:hint="default"/>
        <w:lang w:val="tr-TR" w:eastAsia="tr-TR" w:bidi="tr-TR"/>
      </w:rPr>
    </w:lvl>
  </w:abstractNum>
  <w:abstractNum w:abstractNumId="97">
    <w:multiLevelType w:val="hybridMultilevel"/>
    <w:lvl w:ilvl="0">
      <w:start w:val="1"/>
      <w:numFmt w:val="decimal"/>
      <w:lvlText w:val="%1."/>
      <w:lvlJc w:val="left"/>
      <w:pPr>
        <w:ind w:left="726" w:hanging="41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413"/>
      </w:pPr>
      <w:rPr>
        <w:rFonts w:hint="default"/>
        <w:lang w:val="tr-TR" w:eastAsia="tr-TR" w:bidi="tr-TR"/>
      </w:rPr>
    </w:lvl>
    <w:lvl w:ilvl="2">
      <w:start w:val="0"/>
      <w:numFmt w:val="bullet"/>
      <w:lvlText w:val="•"/>
      <w:lvlJc w:val="left"/>
      <w:pPr>
        <w:ind w:left="2716" w:hanging="413"/>
      </w:pPr>
      <w:rPr>
        <w:rFonts w:hint="default"/>
        <w:lang w:val="tr-TR" w:eastAsia="tr-TR" w:bidi="tr-TR"/>
      </w:rPr>
    </w:lvl>
    <w:lvl w:ilvl="3">
      <w:start w:val="0"/>
      <w:numFmt w:val="bullet"/>
      <w:lvlText w:val="•"/>
      <w:lvlJc w:val="left"/>
      <w:pPr>
        <w:ind w:left="3714" w:hanging="413"/>
      </w:pPr>
      <w:rPr>
        <w:rFonts w:hint="default"/>
        <w:lang w:val="tr-TR" w:eastAsia="tr-TR" w:bidi="tr-TR"/>
      </w:rPr>
    </w:lvl>
    <w:lvl w:ilvl="4">
      <w:start w:val="0"/>
      <w:numFmt w:val="bullet"/>
      <w:lvlText w:val="•"/>
      <w:lvlJc w:val="left"/>
      <w:pPr>
        <w:ind w:left="4712" w:hanging="413"/>
      </w:pPr>
      <w:rPr>
        <w:rFonts w:hint="default"/>
        <w:lang w:val="tr-TR" w:eastAsia="tr-TR" w:bidi="tr-TR"/>
      </w:rPr>
    </w:lvl>
    <w:lvl w:ilvl="5">
      <w:start w:val="0"/>
      <w:numFmt w:val="bullet"/>
      <w:lvlText w:val="•"/>
      <w:lvlJc w:val="left"/>
      <w:pPr>
        <w:ind w:left="5710" w:hanging="413"/>
      </w:pPr>
      <w:rPr>
        <w:rFonts w:hint="default"/>
        <w:lang w:val="tr-TR" w:eastAsia="tr-TR" w:bidi="tr-TR"/>
      </w:rPr>
    </w:lvl>
    <w:lvl w:ilvl="6">
      <w:start w:val="0"/>
      <w:numFmt w:val="bullet"/>
      <w:lvlText w:val="•"/>
      <w:lvlJc w:val="left"/>
      <w:pPr>
        <w:ind w:left="6708" w:hanging="413"/>
      </w:pPr>
      <w:rPr>
        <w:rFonts w:hint="default"/>
        <w:lang w:val="tr-TR" w:eastAsia="tr-TR" w:bidi="tr-TR"/>
      </w:rPr>
    </w:lvl>
    <w:lvl w:ilvl="7">
      <w:start w:val="0"/>
      <w:numFmt w:val="bullet"/>
      <w:lvlText w:val="•"/>
      <w:lvlJc w:val="left"/>
      <w:pPr>
        <w:ind w:left="7706" w:hanging="413"/>
      </w:pPr>
      <w:rPr>
        <w:rFonts w:hint="default"/>
        <w:lang w:val="tr-TR" w:eastAsia="tr-TR" w:bidi="tr-TR"/>
      </w:rPr>
    </w:lvl>
    <w:lvl w:ilvl="8">
      <w:start w:val="0"/>
      <w:numFmt w:val="bullet"/>
      <w:lvlText w:val="•"/>
      <w:lvlJc w:val="left"/>
      <w:pPr>
        <w:ind w:left="8704" w:hanging="413"/>
      </w:pPr>
      <w:rPr>
        <w:rFonts w:hint="default"/>
        <w:lang w:val="tr-TR" w:eastAsia="tr-TR" w:bidi="tr-TR"/>
      </w:rPr>
    </w:lvl>
  </w:abstractNum>
  <w:abstractNum w:abstractNumId="96">
    <w:multiLevelType w:val="hybridMultilevel"/>
    <w:lvl w:ilvl="0">
      <w:start w:val="5"/>
      <w:numFmt w:val="lowerLetter"/>
      <w:lvlText w:val="(%1)"/>
      <w:lvlJc w:val="left"/>
      <w:pPr>
        <w:ind w:left="1022" w:hanging="312"/>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12"/>
      </w:pPr>
      <w:rPr>
        <w:rFonts w:hint="default"/>
        <w:lang w:val="tr-TR" w:eastAsia="tr-TR" w:bidi="tr-TR"/>
      </w:rPr>
    </w:lvl>
    <w:lvl w:ilvl="2">
      <w:start w:val="0"/>
      <w:numFmt w:val="bullet"/>
      <w:lvlText w:val="•"/>
      <w:lvlJc w:val="left"/>
      <w:pPr>
        <w:ind w:left="2956" w:hanging="312"/>
      </w:pPr>
      <w:rPr>
        <w:rFonts w:hint="default"/>
        <w:lang w:val="tr-TR" w:eastAsia="tr-TR" w:bidi="tr-TR"/>
      </w:rPr>
    </w:lvl>
    <w:lvl w:ilvl="3">
      <w:start w:val="0"/>
      <w:numFmt w:val="bullet"/>
      <w:lvlText w:val="•"/>
      <w:lvlJc w:val="left"/>
      <w:pPr>
        <w:ind w:left="3924" w:hanging="312"/>
      </w:pPr>
      <w:rPr>
        <w:rFonts w:hint="default"/>
        <w:lang w:val="tr-TR" w:eastAsia="tr-TR" w:bidi="tr-TR"/>
      </w:rPr>
    </w:lvl>
    <w:lvl w:ilvl="4">
      <w:start w:val="0"/>
      <w:numFmt w:val="bullet"/>
      <w:lvlText w:val="•"/>
      <w:lvlJc w:val="left"/>
      <w:pPr>
        <w:ind w:left="4892" w:hanging="312"/>
      </w:pPr>
      <w:rPr>
        <w:rFonts w:hint="default"/>
        <w:lang w:val="tr-TR" w:eastAsia="tr-TR" w:bidi="tr-TR"/>
      </w:rPr>
    </w:lvl>
    <w:lvl w:ilvl="5">
      <w:start w:val="0"/>
      <w:numFmt w:val="bullet"/>
      <w:lvlText w:val="•"/>
      <w:lvlJc w:val="left"/>
      <w:pPr>
        <w:ind w:left="5860" w:hanging="312"/>
      </w:pPr>
      <w:rPr>
        <w:rFonts w:hint="default"/>
        <w:lang w:val="tr-TR" w:eastAsia="tr-TR" w:bidi="tr-TR"/>
      </w:rPr>
    </w:lvl>
    <w:lvl w:ilvl="6">
      <w:start w:val="0"/>
      <w:numFmt w:val="bullet"/>
      <w:lvlText w:val="•"/>
      <w:lvlJc w:val="left"/>
      <w:pPr>
        <w:ind w:left="6828" w:hanging="312"/>
      </w:pPr>
      <w:rPr>
        <w:rFonts w:hint="default"/>
        <w:lang w:val="tr-TR" w:eastAsia="tr-TR" w:bidi="tr-TR"/>
      </w:rPr>
    </w:lvl>
    <w:lvl w:ilvl="7">
      <w:start w:val="0"/>
      <w:numFmt w:val="bullet"/>
      <w:lvlText w:val="•"/>
      <w:lvlJc w:val="left"/>
      <w:pPr>
        <w:ind w:left="7796" w:hanging="312"/>
      </w:pPr>
      <w:rPr>
        <w:rFonts w:hint="default"/>
        <w:lang w:val="tr-TR" w:eastAsia="tr-TR" w:bidi="tr-TR"/>
      </w:rPr>
    </w:lvl>
    <w:lvl w:ilvl="8">
      <w:start w:val="0"/>
      <w:numFmt w:val="bullet"/>
      <w:lvlText w:val="•"/>
      <w:lvlJc w:val="left"/>
      <w:pPr>
        <w:ind w:left="8764" w:hanging="312"/>
      </w:pPr>
      <w:rPr>
        <w:rFonts w:hint="default"/>
        <w:lang w:val="tr-TR" w:eastAsia="tr-TR" w:bidi="tr-TR"/>
      </w:rPr>
    </w:lvl>
  </w:abstractNum>
  <w:abstractNum w:abstractNumId="95">
    <w:multiLevelType w:val="hybridMultilevel"/>
    <w:lvl w:ilvl="0">
      <w:start w:val="1"/>
      <w:numFmt w:val="lowerLetter"/>
      <w:lvlText w:val="(%1)"/>
      <w:lvlJc w:val="left"/>
      <w:pPr>
        <w:ind w:left="1026"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94">
    <w:multiLevelType w:val="hybridMultilevel"/>
    <w:lvl w:ilvl="0">
      <w:start w:val="1"/>
      <w:numFmt w:val="decimal"/>
      <w:lvlText w:val="%1."/>
      <w:lvlJc w:val="left"/>
      <w:pPr>
        <w:ind w:left="726" w:hanging="221"/>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21"/>
      </w:pPr>
      <w:rPr>
        <w:rFonts w:hint="default"/>
        <w:lang w:val="tr-TR" w:eastAsia="tr-TR" w:bidi="tr-TR"/>
      </w:rPr>
    </w:lvl>
    <w:lvl w:ilvl="2">
      <w:start w:val="0"/>
      <w:numFmt w:val="bullet"/>
      <w:lvlText w:val="•"/>
      <w:lvlJc w:val="left"/>
      <w:pPr>
        <w:ind w:left="2716" w:hanging="221"/>
      </w:pPr>
      <w:rPr>
        <w:rFonts w:hint="default"/>
        <w:lang w:val="tr-TR" w:eastAsia="tr-TR" w:bidi="tr-TR"/>
      </w:rPr>
    </w:lvl>
    <w:lvl w:ilvl="3">
      <w:start w:val="0"/>
      <w:numFmt w:val="bullet"/>
      <w:lvlText w:val="•"/>
      <w:lvlJc w:val="left"/>
      <w:pPr>
        <w:ind w:left="3714" w:hanging="221"/>
      </w:pPr>
      <w:rPr>
        <w:rFonts w:hint="default"/>
        <w:lang w:val="tr-TR" w:eastAsia="tr-TR" w:bidi="tr-TR"/>
      </w:rPr>
    </w:lvl>
    <w:lvl w:ilvl="4">
      <w:start w:val="0"/>
      <w:numFmt w:val="bullet"/>
      <w:lvlText w:val="•"/>
      <w:lvlJc w:val="left"/>
      <w:pPr>
        <w:ind w:left="4712" w:hanging="221"/>
      </w:pPr>
      <w:rPr>
        <w:rFonts w:hint="default"/>
        <w:lang w:val="tr-TR" w:eastAsia="tr-TR" w:bidi="tr-TR"/>
      </w:rPr>
    </w:lvl>
    <w:lvl w:ilvl="5">
      <w:start w:val="0"/>
      <w:numFmt w:val="bullet"/>
      <w:lvlText w:val="•"/>
      <w:lvlJc w:val="left"/>
      <w:pPr>
        <w:ind w:left="5710" w:hanging="221"/>
      </w:pPr>
      <w:rPr>
        <w:rFonts w:hint="default"/>
        <w:lang w:val="tr-TR" w:eastAsia="tr-TR" w:bidi="tr-TR"/>
      </w:rPr>
    </w:lvl>
    <w:lvl w:ilvl="6">
      <w:start w:val="0"/>
      <w:numFmt w:val="bullet"/>
      <w:lvlText w:val="•"/>
      <w:lvlJc w:val="left"/>
      <w:pPr>
        <w:ind w:left="6708" w:hanging="221"/>
      </w:pPr>
      <w:rPr>
        <w:rFonts w:hint="default"/>
        <w:lang w:val="tr-TR" w:eastAsia="tr-TR" w:bidi="tr-TR"/>
      </w:rPr>
    </w:lvl>
    <w:lvl w:ilvl="7">
      <w:start w:val="0"/>
      <w:numFmt w:val="bullet"/>
      <w:lvlText w:val="•"/>
      <w:lvlJc w:val="left"/>
      <w:pPr>
        <w:ind w:left="7706" w:hanging="221"/>
      </w:pPr>
      <w:rPr>
        <w:rFonts w:hint="default"/>
        <w:lang w:val="tr-TR" w:eastAsia="tr-TR" w:bidi="tr-TR"/>
      </w:rPr>
    </w:lvl>
    <w:lvl w:ilvl="8">
      <w:start w:val="0"/>
      <w:numFmt w:val="bullet"/>
      <w:lvlText w:val="•"/>
      <w:lvlJc w:val="left"/>
      <w:pPr>
        <w:ind w:left="8704" w:hanging="221"/>
      </w:pPr>
      <w:rPr>
        <w:rFonts w:hint="default"/>
        <w:lang w:val="tr-TR" w:eastAsia="tr-TR" w:bidi="tr-TR"/>
      </w:rPr>
    </w:lvl>
  </w:abstractNum>
  <w:abstractNum w:abstractNumId="93">
    <w:multiLevelType w:val="hybridMultilevel"/>
    <w:lvl w:ilvl="0">
      <w:start w:val="0"/>
      <w:numFmt w:val="bullet"/>
      <w:lvlText w:val="—"/>
      <w:lvlJc w:val="left"/>
      <w:pPr>
        <w:ind w:left="981" w:hanging="255"/>
      </w:pPr>
      <w:rPr>
        <w:rFonts w:hint="default" w:ascii="Arial" w:hAnsi="Arial" w:eastAsia="Arial" w:cs="Arial"/>
        <w:w w:val="99"/>
        <w:sz w:val="20"/>
        <w:szCs w:val="20"/>
        <w:lang w:val="tr-TR" w:eastAsia="tr-TR" w:bidi="tr-TR"/>
      </w:rPr>
    </w:lvl>
    <w:lvl w:ilvl="1">
      <w:start w:val="0"/>
      <w:numFmt w:val="bullet"/>
      <w:lvlText w:val="•"/>
      <w:lvlJc w:val="left"/>
      <w:pPr>
        <w:ind w:left="1952" w:hanging="255"/>
      </w:pPr>
      <w:rPr>
        <w:rFonts w:hint="default"/>
        <w:lang w:val="tr-TR" w:eastAsia="tr-TR" w:bidi="tr-TR"/>
      </w:rPr>
    </w:lvl>
    <w:lvl w:ilvl="2">
      <w:start w:val="0"/>
      <w:numFmt w:val="bullet"/>
      <w:lvlText w:val="•"/>
      <w:lvlJc w:val="left"/>
      <w:pPr>
        <w:ind w:left="2924" w:hanging="255"/>
      </w:pPr>
      <w:rPr>
        <w:rFonts w:hint="default"/>
        <w:lang w:val="tr-TR" w:eastAsia="tr-TR" w:bidi="tr-TR"/>
      </w:rPr>
    </w:lvl>
    <w:lvl w:ilvl="3">
      <w:start w:val="0"/>
      <w:numFmt w:val="bullet"/>
      <w:lvlText w:val="•"/>
      <w:lvlJc w:val="left"/>
      <w:pPr>
        <w:ind w:left="3896" w:hanging="255"/>
      </w:pPr>
      <w:rPr>
        <w:rFonts w:hint="default"/>
        <w:lang w:val="tr-TR" w:eastAsia="tr-TR" w:bidi="tr-TR"/>
      </w:rPr>
    </w:lvl>
    <w:lvl w:ilvl="4">
      <w:start w:val="0"/>
      <w:numFmt w:val="bullet"/>
      <w:lvlText w:val="•"/>
      <w:lvlJc w:val="left"/>
      <w:pPr>
        <w:ind w:left="4868" w:hanging="255"/>
      </w:pPr>
      <w:rPr>
        <w:rFonts w:hint="default"/>
        <w:lang w:val="tr-TR" w:eastAsia="tr-TR" w:bidi="tr-TR"/>
      </w:rPr>
    </w:lvl>
    <w:lvl w:ilvl="5">
      <w:start w:val="0"/>
      <w:numFmt w:val="bullet"/>
      <w:lvlText w:val="•"/>
      <w:lvlJc w:val="left"/>
      <w:pPr>
        <w:ind w:left="5840" w:hanging="255"/>
      </w:pPr>
      <w:rPr>
        <w:rFonts w:hint="default"/>
        <w:lang w:val="tr-TR" w:eastAsia="tr-TR" w:bidi="tr-TR"/>
      </w:rPr>
    </w:lvl>
    <w:lvl w:ilvl="6">
      <w:start w:val="0"/>
      <w:numFmt w:val="bullet"/>
      <w:lvlText w:val="•"/>
      <w:lvlJc w:val="left"/>
      <w:pPr>
        <w:ind w:left="6812" w:hanging="255"/>
      </w:pPr>
      <w:rPr>
        <w:rFonts w:hint="default"/>
        <w:lang w:val="tr-TR" w:eastAsia="tr-TR" w:bidi="tr-TR"/>
      </w:rPr>
    </w:lvl>
    <w:lvl w:ilvl="7">
      <w:start w:val="0"/>
      <w:numFmt w:val="bullet"/>
      <w:lvlText w:val="•"/>
      <w:lvlJc w:val="left"/>
      <w:pPr>
        <w:ind w:left="7784" w:hanging="255"/>
      </w:pPr>
      <w:rPr>
        <w:rFonts w:hint="default"/>
        <w:lang w:val="tr-TR" w:eastAsia="tr-TR" w:bidi="tr-TR"/>
      </w:rPr>
    </w:lvl>
    <w:lvl w:ilvl="8">
      <w:start w:val="0"/>
      <w:numFmt w:val="bullet"/>
      <w:lvlText w:val="•"/>
      <w:lvlJc w:val="left"/>
      <w:pPr>
        <w:ind w:left="8756" w:hanging="255"/>
      </w:pPr>
      <w:rPr>
        <w:rFonts w:hint="default"/>
        <w:lang w:val="tr-TR" w:eastAsia="tr-TR" w:bidi="tr-TR"/>
      </w:rPr>
    </w:lvl>
  </w:abstractNum>
  <w:abstractNum w:abstractNumId="92">
    <w:multiLevelType w:val="hybridMultilevel"/>
    <w:lvl w:ilvl="0">
      <w:start w:val="1"/>
      <w:numFmt w:val="decimal"/>
      <w:lvlText w:val="%1."/>
      <w:lvlJc w:val="left"/>
      <w:pPr>
        <w:ind w:left="726" w:hanging="238"/>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38"/>
      </w:pPr>
      <w:rPr>
        <w:rFonts w:hint="default"/>
        <w:lang w:val="tr-TR" w:eastAsia="tr-TR" w:bidi="tr-TR"/>
      </w:rPr>
    </w:lvl>
    <w:lvl w:ilvl="2">
      <w:start w:val="0"/>
      <w:numFmt w:val="bullet"/>
      <w:lvlText w:val="•"/>
      <w:lvlJc w:val="left"/>
      <w:pPr>
        <w:ind w:left="2716" w:hanging="238"/>
      </w:pPr>
      <w:rPr>
        <w:rFonts w:hint="default"/>
        <w:lang w:val="tr-TR" w:eastAsia="tr-TR" w:bidi="tr-TR"/>
      </w:rPr>
    </w:lvl>
    <w:lvl w:ilvl="3">
      <w:start w:val="0"/>
      <w:numFmt w:val="bullet"/>
      <w:lvlText w:val="•"/>
      <w:lvlJc w:val="left"/>
      <w:pPr>
        <w:ind w:left="3714" w:hanging="238"/>
      </w:pPr>
      <w:rPr>
        <w:rFonts w:hint="default"/>
        <w:lang w:val="tr-TR" w:eastAsia="tr-TR" w:bidi="tr-TR"/>
      </w:rPr>
    </w:lvl>
    <w:lvl w:ilvl="4">
      <w:start w:val="0"/>
      <w:numFmt w:val="bullet"/>
      <w:lvlText w:val="•"/>
      <w:lvlJc w:val="left"/>
      <w:pPr>
        <w:ind w:left="4712" w:hanging="238"/>
      </w:pPr>
      <w:rPr>
        <w:rFonts w:hint="default"/>
        <w:lang w:val="tr-TR" w:eastAsia="tr-TR" w:bidi="tr-TR"/>
      </w:rPr>
    </w:lvl>
    <w:lvl w:ilvl="5">
      <w:start w:val="0"/>
      <w:numFmt w:val="bullet"/>
      <w:lvlText w:val="•"/>
      <w:lvlJc w:val="left"/>
      <w:pPr>
        <w:ind w:left="5710" w:hanging="238"/>
      </w:pPr>
      <w:rPr>
        <w:rFonts w:hint="default"/>
        <w:lang w:val="tr-TR" w:eastAsia="tr-TR" w:bidi="tr-TR"/>
      </w:rPr>
    </w:lvl>
    <w:lvl w:ilvl="6">
      <w:start w:val="0"/>
      <w:numFmt w:val="bullet"/>
      <w:lvlText w:val="•"/>
      <w:lvlJc w:val="left"/>
      <w:pPr>
        <w:ind w:left="6708" w:hanging="238"/>
      </w:pPr>
      <w:rPr>
        <w:rFonts w:hint="default"/>
        <w:lang w:val="tr-TR" w:eastAsia="tr-TR" w:bidi="tr-TR"/>
      </w:rPr>
    </w:lvl>
    <w:lvl w:ilvl="7">
      <w:start w:val="0"/>
      <w:numFmt w:val="bullet"/>
      <w:lvlText w:val="•"/>
      <w:lvlJc w:val="left"/>
      <w:pPr>
        <w:ind w:left="7706" w:hanging="238"/>
      </w:pPr>
      <w:rPr>
        <w:rFonts w:hint="default"/>
        <w:lang w:val="tr-TR" w:eastAsia="tr-TR" w:bidi="tr-TR"/>
      </w:rPr>
    </w:lvl>
    <w:lvl w:ilvl="8">
      <w:start w:val="0"/>
      <w:numFmt w:val="bullet"/>
      <w:lvlText w:val="•"/>
      <w:lvlJc w:val="left"/>
      <w:pPr>
        <w:ind w:left="8704" w:hanging="238"/>
      </w:pPr>
      <w:rPr>
        <w:rFonts w:hint="default"/>
        <w:lang w:val="tr-TR" w:eastAsia="tr-TR" w:bidi="tr-TR"/>
      </w:rPr>
    </w:lvl>
  </w:abstractNum>
  <w:abstractNum w:abstractNumId="91">
    <w:multiLevelType w:val="hybridMultilevel"/>
    <w:lvl w:ilvl="0">
      <w:start w:val="1"/>
      <w:numFmt w:val="decimal"/>
      <w:lvlText w:val="%1."/>
      <w:lvlJc w:val="left"/>
      <w:pPr>
        <w:ind w:left="726" w:hanging="29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93"/>
      </w:pPr>
      <w:rPr>
        <w:rFonts w:hint="default"/>
        <w:lang w:val="tr-TR" w:eastAsia="tr-TR" w:bidi="tr-TR"/>
      </w:rPr>
    </w:lvl>
    <w:lvl w:ilvl="2">
      <w:start w:val="0"/>
      <w:numFmt w:val="bullet"/>
      <w:lvlText w:val="•"/>
      <w:lvlJc w:val="left"/>
      <w:pPr>
        <w:ind w:left="2716" w:hanging="293"/>
      </w:pPr>
      <w:rPr>
        <w:rFonts w:hint="default"/>
        <w:lang w:val="tr-TR" w:eastAsia="tr-TR" w:bidi="tr-TR"/>
      </w:rPr>
    </w:lvl>
    <w:lvl w:ilvl="3">
      <w:start w:val="0"/>
      <w:numFmt w:val="bullet"/>
      <w:lvlText w:val="•"/>
      <w:lvlJc w:val="left"/>
      <w:pPr>
        <w:ind w:left="3714" w:hanging="293"/>
      </w:pPr>
      <w:rPr>
        <w:rFonts w:hint="default"/>
        <w:lang w:val="tr-TR" w:eastAsia="tr-TR" w:bidi="tr-TR"/>
      </w:rPr>
    </w:lvl>
    <w:lvl w:ilvl="4">
      <w:start w:val="0"/>
      <w:numFmt w:val="bullet"/>
      <w:lvlText w:val="•"/>
      <w:lvlJc w:val="left"/>
      <w:pPr>
        <w:ind w:left="4712" w:hanging="293"/>
      </w:pPr>
      <w:rPr>
        <w:rFonts w:hint="default"/>
        <w:lang w:val="tr-TR" w:eastAsia="tr-TR" w:bidi="tr-TR"/>
      </w:rPr>
    </w:lvl>
    <w:lvl w:ilvl="5">
      <w:start w:val="0"/>
      <w:numFmt w:val="bullet"/>
      <w:lvlText w:val="•"/>
      <w:lvlJc w:val="left"/>
      <w:pPr>
        <w:ind w:left="5710" w:hanging="293"/>
      </w:pPr>
      <w:rPr>
        <w:rFonts w:hint="default"/>
        <w:lang w:val="tr-TR" w:eastAsia="tr-TR" w:bidi="tr-TR"/>
      </w:rPr>
    </w:lvl>
    <w:lvl w:ilvl="6">
      <w:start w:val="0"/>
      <w:numFmt w:val="bullet"/>
      <w:lvlText w:val="•"/>
      <w:lvlJc w:val="left"/>
      <w:pPr>
        <w:ind w:left="6708" w:hanging="293"/>
      </w:pPr>
      <w:rPr>
        <w:rFonts w:hint="default"/>
        <w:lang w:val="tr-TR" w:eastAsia="tr-TR" w:bidi="tr-TR"/>
      </w:rPr>
    </w:lvl>
    <w:lvl w:ilvl="7">
      <w:start w:val="0"/>
      <w:numFmt w:val="bullet"/>
      <w:lvlText w:val="•"/>
      <w:lvlJc w:val="left"/>
      <w:pPr>
        <w:ind w:left="7706" w:hanging="293"/>
      </w:pPr>
      <w:rPr>
        <w:rFonts w:hint="default"/>
        <w:lang w:val="tr-TR" w:eastAsia="tr-TR" w:bidi="tr-TR"/>
      </w:rPr>
    </w:lvl>
    <w:lvl w:ilvl="8">
      <w:start w:val="0"/>
      <w:numFmt w:val="bullet"/>
      <w:lvlText w:val="•"/>
      <w:lvlJc w:val="left"/>
      <w:pPr>
        <w:ind w:left="8704" w:hanging="293"/>
      </w:pPr>
      <w:rPr>
        <w:rFonts w:hint="default"/>
        <w:lang w:val="tr-TR" w:eastAsia="tr-TR" w:bidi="tr-TR"/>
      </w:rPr>
    </w:lvl>
  </w:abstractNum>
  <w:abstractNum w:abstractNumId="90">
    <w:multiLevelType w:val="hybridMultilevel"/>
    <w:lvl w:ilvl="0">
      <w:start w:val="1"/>
      <w:numFmt w:val="decimal"/>
      <w:lvlText w:val="%1."/>
      <w:lvlJc w:val="left"/>
      <w:pPr>
        <w:ind w:left="726" w:hanging="41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413"/>
      </w:pPr>
      <w:rPr>
        <w:rFonts w:hint="default"/>
        <w:lang w:val="tr-TR" w:eastAsia="tr-TR" w:bidi="tr-TR"/>
      </w:rPr>
    </w:lvl>
    <w:lvl w:ilvl="2">
      <w:start w:val="0"/>
      <w:numFmt w:val="bullet"/>
      <w:lvlText w:val="•"/>
      <w:lvlJc w:val="left"/>
      <w:pPr>
        <w:ind w:left="2716" w:hanging="413"/>
      </w:pPr>
      <w:rPr>
        <w:rFonts w:hint="default"/>
        <w:lang w:val="tr-TR" w:eastAsia="tr-TR" w:bidi="tr-TR"/>
      </w:rPr>
    </w:lvl>
    <w:lvl w:ilvl="3">
      <w:start w:val="0"/>
      <w:numFmt w:val="bullet"/>
      <w:lvlText w:val="•"/>
      <w:lvlJc w:val="left"/>
      <w:pPr>
        <w:ind w:left="3714" w:hanging="413"/>
      </w:pPr>
      <w:rPr>
        <w:rFonts w:hint="default"/>
        <w:lang w:val="tr-TR" w:eastAsia="tr-TR" w:bidi="tr-TR"/>
      </w:rPr>
    </w:lvl>
    <w:lvl w:ilvl="4">
      <w:start w:val="0"/>
      <w:numFmt w:val="bullet"/>
      <w:lvlText w:val="•"/>
      <w:lvlJc w:val="left"/>
      <w:pPr>
        <w:ind w:left="4712" w:hanging="413"/>
      </w:pPr>
      <w:rPr>
        <w:rFonts w:hint="default"/>
        <w:lang w:val="tr-TR" w:eastAsia="tr-TR" w:bidi="tr-TR"/>
      </w:rPr>
    </w:lvl>
    <w:lvl w:ilvl="5">
      <w:start w:val="0"/>
      <w:numFmt w:val="bullet"/>
      <w:lvlText w:val="•"/>
      <w:lvlJc w:val="left"/>
      <w:pPr>
        <w:ind w:left="5710" w:hanging="413"/>
      </w:pPr>
      <w:rPr>
        <w:rFonts w:hint="default"/>
        <w:lang w:val="tr-TR" w:eastAsia="tr-TR" w:bidi="tr-TR"/>
      </w:rPr>
    </w:lvl>
    <w:lvl w:ilvl="6">
      <w:start w:val="0"/>
      <w:numFmt w:val="bullet"/>
      <w:lvlText w:val="•"/>
      <w:lvlJc w:val="left"/>
      <w:pPr>
        <w:ind w:left="6708" w:hanging="413"/>
      </w:pPr>
      <w:rPr>
        <w:rFonts w:hint="default"/>
        <w:lang w:val="tr-TR" w:eastAsia="tr-TR" w:bidi="tr-TR"/>
      </w:rPr>
    </w:lvl>
    <w:lvl w:ilvl="7">
      <w:start w:val="0"/>
      <w:numFmt w:val="bullet"/>
      <w:lvlText w:val="•"/>
      <w:lvlJc w:val="left"/>
      <w:pPr>
        <w:ind w:left="7706" w:hanging="413"/>
      </w:pPr>
      <w:rPr>
        <w:rFonts w:hint="default"/>
        <w:lang w:val="tr-TR" w:eastAsia="tr-TR" w:bidi="tr-TR"/>
      </w:rPr>
    </w:lvl>
    <w:lvl w:ilvl="8">
      <w:start w:val="0"/>
      <w:numFmt w:val="bullet"/>
      <w:lvlText w:val="•"/>
      <w:lvlJc w:val="left"/>
      <w:pPr>
        <w:ind w:left="8704" w:hanging="413"/>
      </w:pPr>
      <w:rPr>
        <w:rFonts w:hint="default"/>
        <w:lang w:val="tr-TR" w:eastAsia="tr-TR" w:bidi="tr-TR"/>
      </w:rPr>
    </w:lvl>
  </w:abstractNum>
  <w:abstractNum w:abstractNumId="89">
    <w:multiLevelType w:val="hybridMultilevel"/>
    <w:lvl w:ilvl="0">
      <w:start w:val="1"/>
      <w:numFmt w:val="lowerLetter"/>
      <w:lvlText w:val="(%1)"/>
      <w:lvlJc w:val="left"/>
      <w:pPr>
        <w:ind w:left="1022" w:hanging="307"/>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7"/>
      </w:pPr>
      <w:rPr>
        <w:rFonts w:hint="default"/>
        <w:lang w:val="tr-TR" w:eastAsia="tr-TR" w:bidi="tr-TR"/>
      </w:rPr>
    </w:lvl>
    <w:lvl w:ilvl="2">
      <w:start w:val="0"/>
      <w:numFmt w:val="bullet"/>
      <w:lvlText w:val="•"/>
      <w:lvlJc w:val="left"/>
      <w:pPr>
        <w:ind w:left="2956" w:hanging="307"/>
      </w:pPr>
      <w:rPr>
        <w:rFonts w:hint="default"/>
        <w:lang w:val="tr-TR" w:eastAsia="tr-TR" w:bidi="tr-TR"/>
      </w:rPr>
    </w:lvl>
    <w:lvl w:ilvl="3">
      <w:start w:val="0"/>
      <w:numFmt w:val="bullet"/>
      <w:lvlText w:val="•"/>
      <w:lvlJc w:val="left"/>
      <w:pPr>
        <w:ind w:left="3924" w:hanging="307"/>
      </w:pPr>
      <w:rPr>
        <w:rFonts w:hint="default"/>
        <w:lang w:val="tr-TR" w:eastAsia="tr-TR" w:bidi="tr-TR"/>
      </w:rPr>
    </w:lvl>
    <w:lvl w:ilvl="4">
      <w:start w:val="0"/>
      <w:numFmt w:val="bullet"/>
      <w:lvlText w:val="•"/>
      <w:lvlJc w:val="left"/>
      <w:pPr>
        <w:ind w:left="4892" w:hanging="307"/>
      </w:pPr>
      <w:rPr>
        <w:rFonts w:hint="default"/>
        <w:lang w:val="tr-TR" w:eastAsia="tr-TR" w:bidi="tr-TR"/>
      </w:rPr>
    </w:lvl>
    <w:lvl w:ilvl="5">
      <w:start w:val="0"/>
      <w:numFmt w:val="bullet"/>
      <w:lvlText w:val="•"/>
      <w:lvlJc w:val="left"/>
      <w:pPr>
        <w:ind w:left="5860" w:hanging="307"/>
      </w:pPr>
      <w:rPr>
        <w:rFonts w:hint="default"/>
        <w:lang w:val="tr-TR" w:eastAsia="tr-TR" w:bidi="tr-TR"/>
      </w:rPr>
    </w:lvl>
    <w:lvl w:ilvl="6">
      <w:start w:val="0"/>
      <w:numFmt w:val="bullet"/>
      <w:lvlText w:val="•"/>
      <w:lvlJc w:val="left"/>
      <w:pPr>
        <w:ind w:left="6828" w:hanging="307"/>
      </w:pPr>
      <w:rPr>
        <w:rFonts w:hint="default"/>
        <w:lang w:val="tr-TR" w:eastAsia="tr-TR" w:bidi="tr-TR"/>
      </w:rPr>
    </w:lvl>
    <w:lvl w:ilvl="7">
      <w:start w:val="0"/>
      <w:numFmt w:val="bullet"/>
      <w:lvlText w:val="•"/>
      <w:lvlJc w:val="left"/>
      <w:pPr>
        <w:ind w:left="7796" w:hanging="307"/>
      </w:pPr>
      <w:rPr>
        <w:rFonts w:hint="default"/>
        <w:lang w:val="tr-TR" w:eastAsia="tr-TR" w:bidi="tr-TR"/>
      </w:rPr>
    </w:lvl>
    <w:lvl w:ilvl="8">
      <w:start w:val="0"/>
      <w:numFmt w:val="bullet"/>
      <w:lvlText w:val="•"/>
      <w:lvlJc w:val="left"/>
      <w:pPr>
        <w:ind w:left="8764" w:hanging="307"/>
      </w:pPr>
      <w:rPr>
        <w:rFonts w:hint="default"/>
        <w:lang w:val="tr-TR" w:eastAsia="tr-TR" w:bidi="tr-TR"/>
      </w:rPr>
    </w:lvl>
  </w:abstractNum>
  <w:abstractNum w:abstractNumId="88">
    <w:multiLevelType w:val="hybridMultilevel"/>
    <w:lvl w:ilvl="0">
      <w:start w:val="1"/>
      <w:numFmt w:val="lowerLetter"/>
      <w:lvlText w:val="(%1)"/>
      <w:lvlJc w:val="left"/>
      <w:pPr>
        <w:ind w:left="1022" w:hanging="37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70"/>
      </w:pPr>
      <w:rPr>
        <w:rFonts w:hint="default"/>
        <w:lang w:val="tr-TR" w:eastAsia="tr-TR" w:bidi="tr-TR"/>
      </w:rPr>
    </w:lvl>
    <w:lvl w:ilvl="2">
      <w:start w:val="0"/>
      <w:numFmt w:val="bullet"/>
      <w:lvlText w:val="•"/>
      <w:lvlJc w:val="left"/>
      <w:pPr>
        <w:ind w:left="2956" w:hanging="370"/>
      </w:pPr>
      <w:rPr>
        <w:rFonts w:hint="default"/>
        <w:lang w:val="tr-TR" w:eastAsia="tr-TR" w:bidi="tr-TR"/>
      </w:rPr>
    </w:lvl>
    <w:lvl w:ilvl="3">
      <w:start w:val="0"/>
      <w:numFmt w:val="bullet"/>
      <w:lvlText w:val="•"/>
      <w:lvlJc w:val="left"/>
      <w:pPr>
        <w:ind w:left="3924" w:hanging="370"/>
      </w:pPr>
      <w:rPr>
        <w:rFonts w:hint="default"/>
        <w:lang w:val="tr-TR" w:eastAsia="tr-TR" w:bidi="tr-TR"/>
      </w:rPr>
    </w:lvl>
    <w:lvl w:ilvl="4">
      <w:start w:val="0"/>
      <w:numFmt w:val="bullet"/>
      <w:lvlText w:val="•"/>
      <w:lvlJc w:val="left"/>
      <w:pPr>
        <w:ind w:left="4892" w:hanging="370"/>
      </w:pPr>
      <w:rPr>
        <w:rFonts w:hint="default"/>
        <w:lang w:val="tr-TR" w:eastAsia="tr-TR" w:bidi="tr-TR"/>
      </w:rPr>
    </w:lvl>
    <w:lvl w:ilvl="5">
      <w:start w:val="0"/>
      <w:numFmt w:val="bullet"/>
      <w:lvlText w:val="•"/>
      <w:lvlJc w:val="left"/>
      <w:pPr>
        <w:ind w:left="5860" w:hanging="370"/>
      </w:pPr>
      <w:rPr>
        <w:rFonts w:hint="default"/>
        <w:lang w:val="tr-TR" w:eastAsia="tr-TR" w:bidi="tr-TR"/>
      </w:rPr>
    </w:lvl>
    <w:lvl w:ilvl="6">
      <w:start w:val="0"/>
      <w:numFmt w:val="bullet"/>
      <w:lvlText w:val="•"/>
      <w:lvlJc w:val="left"/>
      <w:pPr>
        <w:ind w:left="6828" w:hanging="370"/>
      </w:pPr>
      <w:rPr>
        <w:rFonts w:hint="default"/>
        <w:lang w:val="tr-TR" w:eastAsia="tr-TR" w:bidi="tr-TR"/>
      </w:rPr>
    </w:lvl>
    <w:lvl w:ilvl="7">
      <w:start w:val="0"/>
      <w:numFmt w:val="bullet"/>
      <w:lvlText w:val="•"/>
      <w:lvlJc w:val="left"/>
      <w:pPr>
        <w:ind w:left="7796" w:hanging="370"/>
      </w:pPr>
      <w:rPr>
        <w:rFonts w:hint="default"/>
        <w:lang w:val="tr-TR" w:eastAsia="tr-TR" w:bidi="tr-TR"/>
      </w:rPr>
    </w:lvl>
    <w:lvl w:ilvl="8">
      <w:start w:val="0"/>
      <w:numFmt w:val="bullet"/>
      <w:lvlText w:val="•"/>
      <w:lvlJc w:val="left"/>
      <w:pPr>
        <w:ind w:left="8764" w:hanging="370"/>
      </w:pPr>
      <w:rPr>
        <w:rFonts w:hint="default"/>
        <w:lang w:val="tr-TR" w:eastAsia="tr-TR" w:bidi="tr-TR"/>
      </w:rPr>
    </w:lvl>
  </w:abstractNum>
  <w:abstractNum w:abstractNumId="87">
    <w:multiLevelType w:val="hybridMultilevel"/>
    <w:lvl w:ilvl="0">
      <w:start w:val="1"/>
      <w:numFmt w:val="decimal"/>
      <w:lvlText w:val="%1."/>
      <w:lvlJc w:val="left"/>
      <w:pPr>
        <w:ind w:left="726" w:hanging="23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33"/>
      </w:pPr>
      <w:rPr>
        <w:rFonts w:hint="default"/>
        <w:lang w:val="tr-TR" w:eastAsia="tr-TR" w:bidi="tr-TR"/>
      </w:rPr>
    </w:lvl>
    <w:lvl w:ilvl="2">
      <w:start w:val="0"/>
      <w:numFmt w:val="bullet"/>
      <w:lvlText w:val="•"/>
      <w:lvlJc w:val="left"/>
      <w:pPr>
        <w:ind w:left="2716" w:hanging="233"/>
      </w:pPr>
      <w:rPr>
        <w:rFonts w:hint="default"/>
        <w:lang w:val="tr-TR" w:eastAsia="tr-TR" w:bidi="tr-TR"/>
      </w:rPr>
    </w:lvl>
    <w:lvl w:ilvl="3">
      <w:start w:val="0"/>
      <w:numFmt w:val="bullet"/>
      <w:lvlText w:val="•"/>
      <w:lvlJc w:val="left"/>
      <w:pPr>
        <w:ind w:left="3714" w:hanging="233"/>
      </w:pPr>
      <w:rPr>
        <w:rFonts w:hint="default"/>
        <w:lang w:val="tr-TR" w:eastAsia="tr-TR" w:bidi="tr-TR"/>
      </w:rPr>
    </w:lvl>
    <w:lvl w:ilvl="4">
      <w:start w:val="0"/>
      <w:numFmt w:val="bullet"/>
      <w:lvlText w:val="•"/>
      <w:lvlJc w:val="left"/>
      <w:pPr>
        <w:ind w:left="4712" w:hanging="233"/>
      </w:pPr>
      <w:rPr>
        <w:rFonts w:hint="default"/>
        <w:lang w:val="tr-TR" w:eastAsia="tr-TR" w:bidi="tr-TR"/>
      </w:rPr>
    </w:lvl>
    <w:lvl w:ilvl="5">
      <w:start w:val="0"/>
      <w:numFmt w:val="bullet"/>
      <w:lvlText w:val="•"/>
      <w:lvlJc w:val="left"/>
      <w:pPr>
        <w:ind w:left="5710" w:hanging="233"/>
      </w:pPr>
      <w:rPr>
        <w:rFonts w:hint="default"/>
        <w:lang w:val="tr-TR" w:eastAsia="tr-TR" w:bidi="tr-TR"/>
      </w:rPr>
    </w:lvl>
    <w:lvl w:ilvl="6">
      <w:start w:val="0"/>
      <w:numFmt w:val="bullet"/>
      <w:lvlText w:val="•"/>
      <w:lvlJc w:val="left"/>
      <w:pPr>
        <w:ind w:left="6708" w:hanging="233"/>
      </w:pPr>
      <w:rPr>
        <w:rFonts w:hint="default"/>
        <w:lang w:val="tr-TR" w:eastAsia="tr-TR" w:bidi="tr-TR"/>
      </w:rPr>
    </w:lvl>
    <w:lvl w:ilvl="7">
      <w:start w:val="0"/>
      <w:numFmt w:val="bullet"/>
      <w:lvlText w:val="•"/>
      <w:lvlJc w:val="left"/>
      <w:pPr>
        <w:ind w:left="7706" w:hanging="233"/>
      </w:pPr>
      <w:rPr>
        <w:rFonts w:hint="default"/>
        <w:lang w:val="tr-TR" w:eastAsia="tr-TR" w:bidi="tr-TR"/>
      </w:rPr>
    </w:lvl>
    <w:lvl w:ilvl="8">
      <w:start w:val="0"/>
      <w:numFmt w:val="bullet"/>
      <w:lvlText w:val="•"/>
      <w:lvlJc w:val="left"/>
      <w:pPr>
        <w:ind w:left="8704" w:hanging="233"/>
      </w:pPr>
      <w:rPr>
        <w:rFonts w:hint="default"/>
        <w:lang w:val="tr-TR" w:eastAsia="tr-TR" w:bidi="tr-TR"/>
      </w:rPr>
    </w:lvl>
  </w:abstractNum>
  <w:abstractNum w:abstractNumId="86">
    <w:multiLevelType w:val="hybridMultilevel"/>
    <w:lvl w:ilvl="0">
      <w:start w:val="1"/>
      <w:numFmt w:val="lowerLetter"/>
      <w:lvlText w:val="(%1)"/>
      <w:lvlJc w:val="left"/>
      <w:pPr>
        <w:ind w:left="1079" w:hanging="360"/>
        <w:jc w:val="left"/>
      </w:pPr>
      <w:rPr>
        <w:rFonts w:hint="default" w:ascii="Arial" w:hAnsi="Arial" w:eastAsia="Arial" w:cs="Arial"/>
        <w:w w:val="99"/>
        <w:sz w:val="20"/>
        <w:szCs w:val="20"/>
        <w:lang w:val="tr-TR" w:eastAsia="tr-TR" w:bidi="tr-TR"/>
      </w:rPr>
    </w:lvl>
    <w:lvl w:ilvl="1">
      <w:start w:val="0"/>
      <w:numFmt w:val="bullet"/>
      <w:lvlText w:val="•"/>
      <w:lvlJc w:val="left"/>
      <w:pPr>
        <w:ind w:left="2042" w:hanging="360"/>
      </w:pPr>
      <w:rPr>
        <w:rFonts w:hint="default"/>
        <w:lang w:val="tr-TR" w:eastAsia="tr-TR" w:bidi="tr-TR"/>
      </w:rPr>
    </w:lvl>
    <w:lvl w:ilvl="2">
      <w:start w:val="0"/>
      <w:numFmt w:val="bullet"/>
      <w:lvlText w:val="•"/>
      <w:lvlJc w:val="left"/>
      <w:pPr>
        <w:ind w:left="3004" w:hanging="360"/>
      </w:pPr>
      <w:rPr>
        <w:rFonts w:hint="default"/>
        <w:lang w:val="tr-TR" w:eastAsia="tr-TR" w:bidi="tr-TR"/>
      </w:rPr>
    </w:lvl>
    <w:lvl w:ilvl="3">
      <w:start w:val="0"/>
      <w:numFmt w:val="bullet"/>
      <w:lvlText w:val="•"/>
      <w:lvlJc w:val="left"/>
      <w:pPr>
        <w:ind w:left="3966" w:hanging="360"/>
      </w:pPr>
      <w:rPr>
        <w:rFonts w:hint="default"/>
        <w:lang w:val="tr-TR" w:eastAsia="tr-TR" w:bidi="tr-TR"/>
      </w:rPr>
    </w:lvl>
    <w:lvl w:ilvl="4">
      <w:start w:val="0"/>
      <w:numFmt w:val="bullet"/>
      <w:lvlText w:val="•"/>
      <w:lvlJc w:val="left"/>
      <w:pPr>
        <w:ind w:left="4928" w:hanging="360"/>
      </w:pPr>
      <w:rPr>
        <w:rFonts w:hint="default"/>
        <w:lang w:val="tr-TR" w:eastAsia="tr-TR" w:bidi="tr-TR"/>
      </w:rPr>
    </w:lvl>
    <w:lvl w:ilvl="5">
      <w:start w:val="0"/>
      <w:numFmt w:val="bullet"/>
      <w:lvlText w:val="•"/>
      <w:lvlJc w:val="left"/>
      <w:pPr>
        <w:ind w:left="5890" w:hanging="360"/>
      </w:pPr>
      <w:rPr>
        <w:rFonts w:hint="default"/>
        <w:lang w:val="tr-TR" w:eastAsia="tr-TR" w:bidi="tr-TR"/>
      </w:rPr>
    </w:lvl>
    <w:lvl w:ilvl="6">
      <w:start w:val="0"/>
      <w:numFmt w:val="bullet"/>
      <w:lvlText w:val="•"/>
      <w:lvlJc w:val="left"/>
      <w:pPr>
        <w:ind w:left="6852" w:hanging="360"/>
      </w:pPr>
      <w:rPr>
        <w:rFonts w:hint="default"/>
        <w:lang w:val="tr-TR" w:eastAsia="tr-TR" w:bidi="tr-TR"/>
      </w:rPr>
    </w:lvl>
    <w:lvl w:ilvl="7">
      <w:start w:val="0"/>
      <w:numFmt w:val="bullet"/>
      <w:lvlText w:val="•"/>
      <w:lvlJc w:val="left"/>
      <w:pPr>
        <w:ind w:left="7814" w:hanging="360"/>
      </w:pPr>
      <w:rPr>
        <w:rFonts w:hint="default"/>
        <w:lang w:val="tr-TR" w:eastAsia="tr-TR" w:bidi="tr-TR"/>
      </w:rPr>
    </w:lvl>
    <w:lvl w:ilvl="8">
      <w:start w:val="0"/>
      <w:numFmt w:val="bullet"/>
      <w:lvlText w:val="•"/>
      <w:lvlJc w:val="left"/>
      <w:pPr>
        <w:ind w:left="8776" w:hanging="360"/>
      </w:pPr>
      <w:rPr>
        <w:rFonts w:hint="default"/>
        <w:lang w:val="tr-TR" w:eastAsia="tr-TR" w:bidi="tr-TR"/>
      </w:rPr>
    </w:lvl>
  </w:abstractNum>
  <w:abstractNum w:abstractNumId="85">
    <w:multiLevelType w:val="hybridMultilevel"/>
    <w:lvl w:ilvl="0">
      <w:start w:val="1"/>
      <w:numFmt w:val="lowerLetter"/>
      <w:lvlText w:val="(%1)"/>
      <w:lvlJc w:val="left"/>
      <w:pPr>
        <w:ind w:left="1022" w:hanging="307"/>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7"/>
      </w:pPr>
      <w:rPr>
        <w:rFonts w:hint="default"/>
        <w:lang w:val="tr-TR" w:eastAsia="tr-TR" w:bidi="tr-TR"/>
      </w:rPr>
    </w:lvl>
    <w:lvl w:ilvl="2">
      <w:start w:val="0"/>
      <w:numFmt w:val="bullet"/>
      <w:lvlText w:val="•"/>
      <w:lvlJc w:val="left"/>
      <w:pPr>
        <w:ind w:left="2956" w:hanging="307"/>
      </w:pPr>
      <w:rPr>
        <w:rFonts w:hint="default"/>
        <w:lang w:val="tr-TR" w:eastAsia="tr-TR" w:bidi="tr-TR"/>
      </w:rPr>
    </w:lvl>
    <w:lvl w:ilvl="3">
      <w:start w:val="0"/>
      <w:numFmt w:val="bullet"/>
      <w:lvlText w:val="•"/>
      <w:lvlJc w:val="left"/>
      <w:pPr>
        <w:ind w:left="3924" w:hanging="307"/>
      </w:pPr>
      <w:rPr>
        <w:rFonts w:hint="default"/>
        <w:lang w:val="tr-TR" w:eastAsia="tr-TR" w:bidi="tr-TR"/>
      </w:rPr>
    </w:lvl>
    <w:lvl w:ilvl="4">
      <w:start w:val="0"/>
      <w:numFmt w:val="bullet"/>
      <w:lvlText w:val="•"/>
      <w:lvlJc w:val="left"/>
      <w:pPr>
        <w:ind w:left="4892" w:hanging="307"/>
      </w:pPr>
      <w:rPr>
        <w:rFonts w:hint="default"/>
        <w:lang w:val="tr-TR" w:eastAsia="tr-TR" w:bidi="tr-TR"/>
      </w:rPr>
    </w:lvl>
    <w:lvl w:ilvl="5">
      <w:start w:val="0"/>
      <w:numFmt w:val="bullet"/>
      <w:lvlText w:val="•"/>
      <w:lvlJc w:val="left"/>
      <w:pPr>
        <w:ind w:left="5860" w:hanging="307"/>
      </w:pPr>
      <w:rPr>
        <w:rFonts w:hint="default"/>
        <w:lang w:val="tr-TR" w:eastAsia="tr-TR" w:bidi="tr-TR"/>
      </w:rPr>
    </w:lvl>
    <w:lvl w:ilvl="6">
      <w:start w:val="0"/>
      <w:numFmt w:val="bullet"/>
      <w:lvlText w:val="•"/>
      <w:lvlJc w:val="left"/>
      <w:pPr>
        <w:ind w:left="6828" w:hanging="307"/>
      </w:pPr>
      <w:rPr>
        <w:rFonts w:hint="default"/>
        <w:lang w:val="tr-TR" w:eastAsia="tr-TR" w:bidi="tr-TR"/>
      </w:rPr>
    </w:lvl>
    <w:lvl w:ilvl="7">
      <w:start w:val="0"/>
      <w:numFmt w:val="bullet"/>
      <w:lvlText w:val="•"/>
      <w:lvlJc w:val="left"/>
      <w:pPr>
        <w:ind w:left="7796" w:hanging="307"/>
      </w:pPr>
      <w:rPr>
        <w:rFonts w:hint="default"/>
        <w:lang w:val="tr-TR" w:eastAsia="tr-TR" w:bidi="tr-TR"/>
      </w:rPr>
    </w:lvl>
    <w:lvl w:ilvl="8">
      <w:start w:val="0"/>
      <w:numFmt w:val="bullet"/>
      <w:lvlText w:val="•"/>
      <w:lvlJc w:val="left"/>
      <w:pPr>
        <w:ind w:left="8764" w:hanging="307"/>
      </w:pPr>
      <w:rPr>
        <w:rFonts w:hint="default"/>
        <w:lang w:val="tr-TR" w:eastAsia="tr-TR" w:bidi="tr-TR"/>
      </w:rPr>
    </w:lvl>
  </w:abstractNum>
  <w:abstractNum w:abstractNumId="84">
    <w:multiLevelType w:val="hybridMultilevel"/>
    <w:lvl w:ilvl="0">
      <w:start w:val="1"/>
      <w:numFmt w:val="decimal"/>
      <w:lvlText w:val="%1."/>
      <w:lvlJc w:val="left"/>
      <w:pPr>
        <w:ind w:left="726" w:hanging="24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43"/>
      </w:pPr>
      <w:rPr>
        <w:rFonts w:hint="default"/>
        <w:lang w:val="tr-TR" w:eastAsia="tr-TR" w:bidi="tr-TR"/>
      </w:rPr>
    </w:lvl>
    <w:lvl w:ilvl="2">
      <w:start w:val="0"/>
      <w:numFmt w:val="bullet"/>
      <w:lvlText w:val="•"/>
      <w:lvlJc w:val="left"/>
      <w:pPr>
        <w:ind w:left="2716" w:hanging="243"/>
      </w:pPr>
      <w:rPr>
        <w:rFonts w:hint="default"/>
        <w:lang w:val="tr-TR" w:eastAsia="tr-TR" w:bidi="tr-TR"/>
      </w:rPr>
    </w:lvl>
    <w:lvl w:ilvl="3">
      <w:start w:val="0"/>
      <w:numFmt w:val="bullet"/>
      <w:lvlText w:val="•"/>
      <w:lvlJc w:val="left"/>
      <w:pPr>
        <w:ind w:left="3714" w:hanging="243"/>
      </w:pPr>
      <w:rPr>
        <w:rFonts w:hint="default"/>
        <w:lang w:val="tr-TR" w:eastAsia="tr-TR" w:bidi="tr-TR"/>
      </w:rPr>
    </w:lvl>
    <w:lvl w:ilvl="4">
      <w:start w:val="0"/>
      <w:numFmt w:val="bullet"/>
      <w:lvlText w:val="•"/>
      <w:lvlJc w:val="left"/>
      <w:pPr>
        <w:ind w:left="4712" w:hanging="243"/>
      </w:pPr>
      <w:rPr>
        <w:rFonts w:hint="default"/>
        <w:lang w:val="tr-TR" w:eastAsia="tr-TR" w:bidi="tr-TR"/>
      </w:rPr>
    </w:lvl>
    <w:lvl w:ilvl="5">
      <w:start w:val="0"/>
      <w:numFmt w:val="bullet"/>
      <w:lvlText w:val="•"/>
      <w:lvlJc w:val="left"/>
      <w:pPr>
        <w:ind w:left="5710" w:hanging="243"/>
      </w:pPr>
      <w:rPr>
        <w:rFonts w:hint="default"/>
        <w:lang w:val="tr-TR" w:eastAsia="tr-TR" w:bidi="tr-TR"/>
      </w:rPr>
    </w:lvl>
    <w:lvl w:ilvl="6">
      <w:start w:val="0"/>
      <w:numFmt w:val="bullet"/>
      <w:lvlText w:val="•"/>
      <w:lvlJc w:val="left"/>
      <w:pPr>
        <w:ind w:left="6708" w:hanging="243"/>
      </w:pPr>
      <w:rPr>
        <w:rFonts w:hint="default"/>
        <w:lang w:val="tr-TR" w:eastAsia="tr-TR" w:bidi="tr-TR"/>
      </w:rPr>
    </w:lvl>
    <w:lvl w:ilvl="7">
      <w:start w:val="0"/>
      <w:numFmt w:val="bullet"/>
      <w:lvlText w:val="•"/>
      <w:lvlJc w:val="left"/>
      <w:pPr>
        <w:ind w:left="7706" w:hanging="243"/>
      </w:pPr>
      <w:rPr>
        <w:rFonts w:hint="default"/>
        <w:lang w:val="tr-TR" w:eastAsia="tr-TR" w:bidi="tr-TR"/>
      </w:rPr>
    </w:lvl>
    <w:lvl w:ilvl="8">
      <w:start w:val="0"/>
      <w:numFmt w:val="bullet"/>
      <w:lvlText w:val="•"/>
      <w:lvlJc w:val="left"/>
      <w:pPr>
        <w:ind w:left="8704" w:hanging="243"/>
      </w:pPr>
      <w:rPr>
        <w:rFonts w:hint="default"/>
        <w:lang w:val="tr-TR" w:eastAsia="tr-TR" w:bidi="tr-TR"/>
      </w:rPr>
    </w:lvl>
  </w:abstractNum>
  <w:abstractNum w:abstractNumId="83">
    <w:multiLevelType w:val="hybridMultilevel"/>
    <w:lvl w:ilvl="0">
      <w:start w:val="1"/>
      <w:numFmt w:val="lowerLetter"/>
      <w:lvlText w:val="(%1)"/>
      <w:lvlJc w:val="left"/>
      <w:pPr>
        <w:ind w:left="1022"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82">
    <w:multiLevelType w:val="hybridMultilevel"/>
    <w:lvl w:ilvl="0">
      <w:start w:val="1"/>
      <w:numFmt w:val="lowerLetter"/>
      <w:lvlText w:val="(%1)"/>
      <w:lvlJc w:val="left"/>
      <w:pPr>
        <w:ind w:left="1022" w:hanging="300"/>
        <w:jc w:val="left"/>
      </w:pPr>
      <w:rPr>
        <w:rFonts w:hint="default" w:ascii="Arial" w:hAnsi="Arial" w:eastAsia="Arial" w:cs="Arial"/>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81">
    <w:multiLevelType w:val="hybridMultilevel"/>
    <w:lvl w:ilvl="0">
      <w:start w:val="1"/>
      <w:numFmt w:val="decimal"/>
      <w:lvlText w:val="%1."/>
      <w:lvlJc w:val="left"/>
      <w:pPr>
        <w:ind w:left="726" w:hanging="236"/>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36"/>
      </w:pPr>
      <w:rPr>
        <w:rFonts w:hint="default"/>
        <w:lang w:val="tr-TR" w:eastAsia="tr-TR" w:bidi="tr-TR"/>
      </w:rPr>
    </w:lvl>
    <w:lvl w:ilvl="2">
      <w:start w:val="0"/>
      <w:numFmt w:val="bullet"/>
      <w:lvlText w:val="•"/>
      <w:lvlJc w:val="left"/>
      <w:pPr>
        <w:ind w:left="2716" w:hanging="236"/>
      </w:pPr>
      <w:rPr>
        <w:rFonts w:hint="default"/>
        <w:lang w:val="tr-TR" w:eastAsia="tr-TR" w:bidi="tr-TR"/>
      </w:rPr>
    </w:lvl>
    <w:lvl w:ilvl="3">
      <w:start w:val="0"/>
      <w:numFmt w:val="bullet"/>
      <w:lvlText w:val="•"/>
      <w:lvlJc w:val="left"/>
      <w:pPr>
        <w:ind w:left="3714" w:hanging="236"/>
      </w:pPr>
      <w:rPr>
        <w:rFonts w:hint="default"/>
        <w:lang w:val="tr-TR" w:eastAsia="tr-TR" w:bidi="tr-TR"/>
      </w:rPr>
    </w:lvl>
    <w:lvl w:ilvl="4">
      <w:start w:val="0"/>
      <w:numFmt w:val="bullet"/>
      <w:lvlText w:val="•"/>
      <w:lvlJc w:val="left"/>
      <w:pPr>
        <w:ind w:left="4712" w:hanging="236"/>
      </w:pPr>
      <w:rPr>
        <w:rFonts w:hint="default"/>
        <w:lang w:val="tr-TR" w:eastAsia="tr-TR" w:bidi="tr-TR"/>
      </w:rPr>
    </w:lvl>
    <w:lvl w:ilvl="5">
      <w:start w:val="0"/>
      <w:numFmt w:val="bullet"/>
      <w:lvlText w:val="•"/>
      <w:lvlJc w:val="left"/>
      <w:pPr>
        <w:ind w:left="5710" w:hanging="236"/>
      </w:pPr>
      <w:rPr>
        <w:rFonts w:hint="default"/>
        <w:lang w:val="tr-TR" w:eastAsia="tr-TR" w:bidi="tr-TR"/>
      </w:rPr>
    </w:lvl>
    <w:lvl w:ilvl="6">
      <w:start w:val="0"/>
      <w:numFmt w:val="bullet"/>
      <w:lvlText w:val="•"/>
      <w:lvlJc w:val="left"/>
      <w:pPr>
        <w:ind w:left="6708" w:hanging="236"/>
      </w:pPr>
      <w:rPr>
        <w:rFonts w:hint="default"/>
        <w:lang w:val="tr-TR" w:eastAsia="tr-TR" w:bidi="tr-TR"/>
      </w:rPr>
    </w:lvl>
    <w:lvl w:ilvl="7">
      <w:start w:val="0"/>
      <w:numFmt w:val="bullet"/>
      <w:lvlText w:val="•"/>
      <w:lvlJc w:val="left"/>
      <w:pPr>
        <w:ind w:left="7706" w:hanging="236"/>
      </w:pPr>
      <w:rPr>
        <w:rFonts w:hint="default"/>
        <w:lang w:val="tr-TR" w:eastAsia="tr-TR" w:bidi="tr-TR"/>
      </w:rPr>
    </w:lvl>
    <w:lvl w:ilvl="8">
      <w:start w:val="0"/>
      <w:numFmt w:val="bullet"/>
      <w:lvlText w:val="•"/>
      <w:lvlJc w:val="left"/>
      <w:pPr>
        <w:ind w:left="8704" w:hanging="236"/>
      </w:pPr>
      <w:rPr>
        <w:rFonts w:hint="default"/>
        <w:lang w:val="tr-TR" w:eastAsia="tr-TR" w:bidi="tr-TR"/>
      </w:rPr>
    </w:lvl>
  </w:abstractNum>
  <w:abstractNum w:abstractNumId="80">
    <w:multiLevelType w:val="hybridMultilevel"/>
    <w:lvl w:ilvl="0">
      <w:start w:val="1"/>
      <w:numFmt w:val="lowerLetter"/>
      <w:lvlText w:val="(%1)"/>
      <w:lvlJc w:val="left"/>
      <w:pPr>
        <w:ind w:left="1022" w:hanging="362"/>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62"/>
      </w:pPr>
      <w:rPr>
        <w:rFonts w:hint="default"/>
        <w:lang w:val="tr-TR" w:eastAsia="tr-TR" w:bidi="tr-TR"/>
      </w:rPr>
    </w:lvl>
    <w:lvl w:ilvl="2">
      <w:start w:val="0"/>
      <w:numFmt w:val="bullet"/>
      <w:lvlText w:val="•"/>
      <w:lvlJc w:val="left"/>
      <w:pPr>
        <w:ind w:left="2956" w:hanging="362"/>
      </w:pPr>
      <w:rPr>
        <w:rFonts w:hint="default"/>
        <w:lang w:val="tr-TR" w:eastAsia="tr-TR" w:bidi="tr-TR"/>
      </w:rPr>
    </w:lvl>
    <w:lvl w:ilvl="3">
      <w:start w:val="0"/>
      <w:numFmt w:val="bullet"/>
      <w:lvlText w:val="•"/>
      <w:lvlJc w:val="left"/>
      <w:pPr>
        <w:ind w:left="3924" w:hanging="362"/>
      </w:pPr>
      <w:rPr>
        <w:rFonts w:hint="default"/>
        <w:lang w:val="tr-TR" w:eastAsia="tr-TR" w:bidi="tr-TR"/>
      </w:rPr>
    </w:lvl>
    <w:lvl w:ilvl="4">
      <w:start w:val="0"/>
      <w:numFmt w:val="bullet"/>
      <w:lvlText w:val="•"/>
      <w:lvlJc w:val="left"/>
      <w:pPr>
        <w:ind w:left="4892" w:hanging="362"/>
      </w:pPr>
      <w:rPr>
        <w:rFonts w:hint="default"/>
        <w:lang w:val="tr-TR" w:eastAsia="tr-TR" w:bidi="tr-TR"/>
      </w:rPr>
    </w:lvl>
    <w:lvl w:ilvl="5">
      <w:start w:val="0"/>
      <w:numFmt w:val="bullet"/>
      <w:lvlText w:val="•"/>
      <w:lvlJc w:val="left"/>
      <w:pPr>
        <w:ind w:left="5860" w:hanging="362"/>
      </w:pPr>
      <w:rPr>
        <w:rFonts w:hint="default"/>
        <w:lang w:val="tr-TR" w:eastAsia="tr-TR" w:bidi="tr-TR"/>
      </w:rPr>
    </w:lvl>
    <w:lvl w:ilvl="6">
      <w:start w:val="0"/>
      <w:numFmt w:val="bullet"/>
      <w:lvlText w:val="•"/>
      <w:lvlJc w:val="left"/>
      <w:pPr>
        <w:ind w:left="6828" w:hanging="362"/>
      </w:pPr>
      <w:rPr>
        <w:rFonts w:hint="default"/>
        <w:lang w:val="tr-TR" w:eastAsia="tr-TR" w:bidi="tr-TR"/>
      </w:rPr>
    </w:lvl>
    <w:lvl w:ilvl="7">
      <w:start w:val="0"/>
      <w:numFmt w:val="bullet"/>
      <w:lvlText w:val="•"/>
      <w:lvlJc w:val="left"/>
      <w:pPr>
        <w:ind w:left="7796" w:hanging="362"/>
      </w:pPr>
      <w:rPr>
        <w:rFonts w:hint="default"/>
        <w:lang w:val="tr-TR" w:eastAsia="tr-TR" w:bidi="tr-TR"/>
      </w:rPr>
    </w:lvl>
    <w:lvl w:ilvl="8">
      <w:start w:val="0"/>
      <w:numFmt w:val="bullet"/>
      <w:lvlText w:val="•"/>
      <w:lvlJc w:val="left"/>
      <w:pPr>
        <w:ind w:left="8764" w:hanging="362"/>
      </w:pPr>
      <w:rPr>
        <w:rFonts w:hint="default"/>
        <w:lang w:val="tr-TR" w:eastAsia="tr-TR" w:bidi="tr-TR"/>
      </w:rPr>
    </w:lvl>
  </w:abstractNum>
  <w:abstractNum w:abstractNumId="79">
    <w:multiLevelType w:val="hybridMultilevel"/>
    <w:lvl w:ilvl="0">
      <w:start w:val="1"/>
      <w:numFmt w:val="decimal"/>
      <w:lvlText w:val="%1."/>
      <w:lvlJc w:val="left"/>
      <w:pPr>
        <w:ind w:left="726" w:hanging="238"/>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38"/>
      </w:pPr>
      <w:rPr>
        <w:rFonts w:hint="default"/>
        <w:lang w:val="tr-TR" w:eastAsia="tr-TR" w:bidi="tr-TR"/>
      </w:rPr>
    </w:lvl>
    <w:lvl w:ilvl="2">
      <w:start w:val="0"/>
      <w:numFmt w:val="bullet"/>
      <w:lvlText w:val="•"/>
      <w:lvlJc w:val="left"/>
      <w:pPr>
        <w:ind w:left="2716" w:hanging="238"/>
      </w:pPr>
      <w:rPr>
        <w:rFonts w:hint="default"/>
        <w:lang w:val="tr-TR" w:eastAsia="tr-TR" w:bidi="tr-TR"/>
      </w:rPr>
    </w:lvl>
    <w:lvl w:ilvl="3">
      <w:start w:val="0"/>
      <w:numFmt w:val="bullet"/>
      <w:lvlText w:val="•"/>
      <w:lvlJc w:val="left"/>
      <w:pPr>
        <w:ind w:left="3714" w:hanging="238"/>
      </w:pPr>
      <w:rPr>
        <w:rFonts w:hint="default"/>
        <w:lang w:val="tr-TR" w:eastAsia="tr-TR" w:bidi="tr-TR"/>
      </w:rPr>
    </w:lvl>
    <w:lvl w:ilvl="4">
      <w:start w:val="0"/>
      <w:numFmt w:val="bullet"/>
      <w:lvlText w:val="•"/>
      <w:lvlJc w:val="left"/>
      <w:pPr>
        <w:ind w:left="4712" w:hanging="238"/>
      </w:pPr>
      <w:rPr>
        <w:rFonts w:hint="default"/>
        <w:lang w:val="tr-TR" w:eastAsia="tr-TR" w:bidi="tr-TR"/>
      </w:rPr>
    </w:lvl>
    <w:lvl w:ilvl="5">
      <w:start w:val="0"/>
      <w:numFmt w:val="bullet"/>
      <w:lvlText w:val="•"/>
      <w:lvlJc w:val="left"/>
      <w:pPr>
        <w:ind w:left="5710" w:hanging="238"/>
      </w:pPr>
      <w:rPr>
        <w:rFonts w:hint="default"/>
        <w:lang w:val="tr-TR" w:eastAsia="tr-TR" w:bidi="tr-TR"/>
      </w:rPr>
    </w:lvl>
    <w:lvl w:ilvl="6">
      <w:start w:val="0"/>
      <w:numFmt w:val="bullet"/>
      <w:lvlText w:val="•"/>
      <w:lvlJc w:val="left"/>
      <w:pPr>
        <w:ind w:left="6708" w:hanging="238"/>
      </w:pPr>
      <w:rPr>
        <w:rFonts w:hint="default"/>
        <w:lang w:val="tr-TR" w:eastAsia="tr-TR" w:bidi="tr-TR"/>
      </w:rPr>
    </w:lvl>
    <w:lvl w:ilvl="7">
      <w:start w:val="0"/>
      <w:numFmt w:val="bullet"/>
      <w:lvlText w:val="•"/>
      <w:lvlJc w:val="left"/>
      <w:pPr>
        <w:ind w:left="7706" w:hanging="238"/>
      </w:pPr>
      <w:rPr>
        <w:rFonts w:hint="default"/>
        <w:lang w:val="tr-TR" w:eastAsia="tr-TR" w:bidi="tr-TR"/>
      </w:rPr>
    </w:lvl>
    <w:lvl w:ilvl="8">
      <w:start w:val="0"/>
      <w:numFmt w:val="bullet"/>
      <w:lvlText w:val="•"/>
      <w:lvlJc w:val="left"/>
      <w:pPr>
        <w:ind w:left="8704" w:hanging="238"/>
      </w:pPr>
      <w:rPr>
        <w:rFonts w:hint="default"/>
        <w:lang w:val="tr-TR" w:eastAsia="tr-TR" w:bidi="tr-TR"/>
      </w:rPr>
    </w:lvl>
  </w:abstractNum>
  <w:abstractNum w:abstractNumId="78">
    <w:multiLevelType w:val="hybridMultilevel"/>
    <w:lvl w:ilvl="0">
      <w:start w:val="1"/>
      <w:numFmt w:val="lowerLetter"/>
      <w:lvlText w:val="(%1)"/>
      <w:lvlJc w:val="left"/>
      <w:pPr>
        <w:ind w:left="1022" w:hanging="348"/>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48"/>
      </w:pPr>
      <w:rPr>
        <w:rFonts w:hint="default"/>
        <w:lang w:val="tr-TR" w:eastAsia="tr-TR" w:bidi="tr-TR"/>
      </w:rPr>
    </w:lvl>
    <w:lvl w:ilvl="2">
      <w:start w:val="0"/>
      <w:numFmt w:val="bullet"/>
      <w:lvlText w:val="•"/>
      <w:lvlJc w:val="left"/>
      <w:pPr>
        <w:ind w:left="2956" w:hanging="348"/>
      </w:pPr>
      <w:rPr>
        <w:rFonts w:hint="default"/>
        <w:lang w:val="tr-TR" w:eastAsia="tr-TR" w:bidi="tr-TR"/>
      </w:rPr>
    </w:lvl>
    <w:lvl w:ilvl="3">
      <w:start w:val="0"/>
      <w:numFmt w:val="bullet"/>
      <w:lvlText w:val="•"/>
      <w:lvlJc w:val="left"/>
      <w:pPr>
        <w:ind w:left="3924" w:hanging="348"/>
      </w:pPr>
      <w:rPr>
        <w:rFonts w:hint="default"/>
        <w:lang w:val="tr-TR" w:eastAsia="tr-TR" w:bidi="tr-TR"/>
      </w:rPr>
    </w:lvl>
    <w:lvl w:ilvl="4">
      <w:start w:val="0"/>
      <w:numFmt w:val="bullet"/>
      <w:lvlText w:val="•"/>
      <w:lvlJc w:val="left"/>
      <w:pPr>
        <w:ind w:left="4892" w:hanging="348"/>
      </w:pPr>
      <w:rPr>
        <w:rFonts w:hint="default"/>
        <w:lang w:val="tr-TR" w:eastAsia="tr-TR" w:bidi="tr-TR"/>
      </w:rPr>
    </w:lvl>
    <w:lvl w:ilvl="5">
      <w:start w:val="0"/>
      <w:numFmt w:val="bullet"/>
      <w:lvlText w:val="•"/>
      <w:lvlJc w:val="left"/>
      <w:pPr>
        <w:ind w:left="5860" w:hanging="348"/>
      </w:pPr>
      <w:rPr>
        <w:rFonts w:hint="default"/>
        <w:lang w:val="tr-TR" w:eastAsia="tr-TR" w:bidi="tr-TR"/>
      </w:rPr>
    </w:lvl>
    <w:lvl w:ilvl="6">
      <w:start w:val="0"/>
      <w:numFmt w:val="bullet"/>
      <w:lvlText w:val="•"/>
      <w:lvlJc w:val="left"/>
      <w:pPr>
        <w:ind w:left="6828" w:hanging="348"/>
      </w:pPr>
      <w:rPr>
        <w:rFonts w:hint="default"/>
        <w:lang w:val="tr-TR" w:eastAsia="tr-TR" w:bidi="tr-TR"/>
      </w:rPr>
    </w:lvl>
    <w:lvl w:ilvl="7">
      <w:start w:val="0"/>
      <w:numFmt w:val="bullet"/>
      <w:lvlText w:val="•"/>
      <w:lvlJc w:val="left"/>
      <w:pPr>
        <w:ind w:left="7796" w:hanging="348"/>
      </w:pPr>
      <w:rPr>
        <w:rFonts w:hint="default"/>
        <w:lang w:val="tr-TR" w:eastAsia="tr-TR" w:bidi="tr-TR"/>
      </w:rPr>
    </w:lvl>
    <w:lvl w:ilvl="8">
      <w:start w:val="0"/>
      <w:numFmt w:val="bullet"/>
      <w:lvlText w:val="•"/>
      <w:lvlJc w:val="left"/>
      <w:pPr>
        <w:ind w:left="8764" w:hanging="348"/>
      </w:pPr>
      <w:rPr>
        <w:rFonts w:hint="default"/>
        <w:lang w:val="tr-TR" w:eastAsia="tr-TR" w:bidi="tr-TR"/>
      </w:rPr>
    </w:lvl>
  </w:abstractNum>
  <w:abstractNum w:abstractNumId="77">
    <w:multiLevelType w:val="hybridMultilevel"/>
    <w:lvl w:ilvl="0">
      <w:start w:val="1"/>
      <w:numFmt w:val="lowerLetter"/>
      <w:lvlText w:val="(%1)"/>
      <w:lvlJc w:val="left"/>
      <w:pPr>
        <w:ind w:left="1022"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76">
    <w:multiLevelType w:val="hybridMultilevel"/>
    <w:lvl w:ilvl="0">
      <w:start w:val="1"/>
      <w:numFmt w:val="decimal"/>
      <w:lvlText w:val="%1."/>
      <w:lvlJc w:val="left"/>
      <w:pPr>
        <w:ind w:left="726" w:hanging="317"/>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317"/>
      </w:pPr>
      <w:rPr>
        <w:rFonts w:hint="default"/>
        <w:lang w:val="tr-TR" w:eastAsia="tr-TR" w:bidi="tr-TR"/>
      </w:rPr>
    </w:lvl>
    <w:lvl w:ilvl="2">
      <w:start w:val="0"/>
      <w:numFmt w:val="bullet"/>
      <w:lvlText w:val="•"/>
      <w:lvlJc w:val="left"/>
      <w:pPr>
        <w:ind w:left="2716" w:hanging="317"/>
      </w:pPr>
      <w:rPr>
        <w:rFonts w:hint="default"/>
        <w:lang w:val="tr-TR" w:eastAsia="tr-TR" w:bidi="tr-TR"/>
      </w:rPr>
    </w:lvl>
    <w:lvl w:ilvl="3">
      <w:start w:val="0"/>
      <w:numFmt w:val="bullet"/>
      <w:lvlText w:val="•"/>
      <w:lvlJc w:val="left"/>
      <w:pPr>
        <w:ind w:left="3714" w:hanging="317"/>
      </w:pPr>
      <w:rPr>
        <w:rFonts w:hint="default"/>
        <w:lang w:val="tr-TR" w:eastAsia="tr-TR" w:bidi="tr-TR"/>
      </w:rPr>
    </w:lvl>
    <w:lvl w:ilvl="4">
      <w:start w:val="0"/>
      <w:numFmt w:val="bullet"/>
      <w:lvlText w:val="•"/>
      <w:lvlJc w:val="left"/>
      <w:pPr>
        <w:ind w:left="4712" w:hanging="317"/>
      </w:pPr>
      <w:rPr>
        <w:rFonts w:hint="default"/>
        <w:lang w:val="tr-TR" w:eastAsia="tr-TR" w:bidi="tr-TR"/>
      </w:rPr>
    </w:lvl>
    <w:lvl w:ilvl="5">
      <w:start w:val="0"/>
      <w:numFmt w:val="bullet"/>
      <w:lvlText w:val="•"/>
      <w:lvlJc w:val="left"/>
      <w:pPr>
        <w:ind w:left="5710" w:hanging="317"/>
      </w:pPr>
      <w:rPr>
        <w:rFonts w:hint="default"/>
        <w:lang w:val="tr-TR" w:eastAsia="tr-TR" w:bidi="tr-TR"/>
      </w:rPr>
    </w:lvl>
    <w:lvl w:ilvl="6">
      <w:start w:val="0"/>
      <w:numFmt w:val="bullet"/>
      <w:lvlText w:val="•"/>
      <w:lvlJc w:val="left"/>
      <w:pPr>
        <w:ind w:left="6708" w:hanging="317"/>
      </w:pPr>
      <w:rPr>
        <w:rFonts w:hint="default"/>
        <w:lang w:val="tr-TR" w:eastAsia="tr-TR" w:bidi="tr-TR"/>
      </w:rPr>
    </w:lvl>
    <w:lvl w:ilvl="7">
      <w:start w:val="0"/>
      <w:numFmt w:val="bullet"/>
      <w:lvlText w:val="•"/>
      <w:lvlJc w:val="left"/>
      <w:pPr>
        <w:ind w:left="7706" w:hanging="317"/>
      </w:pPr>
      <w:rPr>
        <w:rFonts w:hint="default"/>
        <w:lang w:val="tr-TR" w:eastAsia="tr-TR" w:bidi="tr-TR"/>
      </w:rPr>
    </w:lvl>
    <w:lvl w:ilvl="8">
      <w:start w:val="0"/>
      <w:numFmt w:val="bullet"/>
      <w:lvlText w:val="•"/>
      <w:lvlJc w:val="left"/>
      <w:pPr>
        <w:ind w:left="8704" w:hanging="317"/>
      </w:pPr>
      <w:rPr>
        <w:rFonts w:hint="default"/>
        <w:lang w:val="tr-TR" w:eastAsia="tr-TR" w:bidi="tr-TR"/>
      </w:rPr>
    </w:lvl>
  </w:abstractNum>
  <w:abstractNum w:abstractNumId="75">
    <w:multiLevelType w:val="hybridMultilevel"/>
    <w:lvl w:ilvl="0">
      <w:start w:val="6"/>
      <w:numFmt w:val="decimal"/>
      <w:lvlText w:val="%1."/>
      <w:lvlJc w:val="left"/>
      <w:pPr>
        <w:ind w:left="726" w:hanging="30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303"/>
      </w:pPr>
      <w:rPr>
        <w:rFonts w:hint="default"/>
        <w:lang w:val="tr-TR" w:eastAsia="tr-TR" w:bidi="tr-TR"/>
      </w:rPr>
    </w:lvl>
    <w:lvl w:ilvl="2">
      <w:start w:val="0"/>
      <w:numFmt w:val="bullet"/>
      <w:lvlText w:val="•"/>
      <w:lvlJc w:val="left"/>
      <w:pPr>
        <w:ind w:left="2716" w:hanging="303"/>
      </w:pPr>
      <w:rPr>
        <w:rFonts w:hint="default"/>
        <w:lang w:val="tr-TR" w:eastAsia="tr-TR" w:bidi="tr-TR"/>
      </w:rPr>
    </w:lvl>
    <w:lvl w:ilvl="3">
      <w:start w:val="0"/>
      <w:numFmt w:val="bullet"/>
      <w:lvlText w:val="•"/>
      <w:lvlJc w:val="left"/>
      <w:pPr>
        <w:ind w:left="3714" w:hanging="303"/>
      </w:pPr>
      <w:rPr>
        <w:rFonts w:hint="default"/>
        <w:lang w:val="tr-TR" w:eastAsia="tr-TR" w:bidi="tr-TR"/>
      </w:rPr>
    </w:lvl>
    <w:lvl w:ilvl="4">
      <w:start w:val="0"/>
      <w:numFmt w:val="bullet"/>
      <w:lvlText w:val="•"/>
      <w:lvlJc w:val="left"/>
      <w:pPr>
        <w:ind w:left="4712" w:hanging="303"/>
      </w:pPr>
      <w:rPr>
        <w:rFonts w:hint="default"/>
        <w:lang w:val="tr-TR" w:eastAsia="tr-TR" w:bidi="tr-TR"/>
      </w:rPr>
    </w:lvl>
    <w:lvl w:ilvl="5">
      <w:start w:val="0"/>
      <w:numFmt w:val="bullet"/>
      <w:lvlText w:val="•"/>
      <w:lvlJc w:val="left"/>
      <w:pPr>
        <w:ind w:left="5710" w:hanging="303"/>
      </w:pPr>
      <w:rPr>
        <w:rFonts w:hint="default"/>
        <w:lang w:val="tr-TR" w:eastAsia="tr-TR" w:bidi="tr-TR"/>
      </w:rPr>
    </w:lvl>
    <w:lvl w:ilvl="6">
      <w:start w:val="0"/>
      <w:numFmt w:val="bullet"/>
      <w:lvlText w:val="•"/>
      <w:lvlJc w:val="left"/>
      <w:pPr>
        <w:ind w:left="6708" w:hanging="303"/>
      </w:pPr>
      <w:rPr>
        <w:rFonts w:hint="default"/>
        <w:lang w:val="tr-TR" w:eastAsia="tr-TR" w:bidi="tr-TR"/>
      </w:rPr>
    </w:lvl>
    <w:lvl w:ilvl="7">
      <w:start w:val="0"/>
      <w:numFmt w:val="bullet"/>
      <w:lvlText w:val="•"/>
      <w:lvlJc w:val="left"/>
      <w:pPr>
        <w:ind w:left="7706" w:hanging="303"/>
      </w:pPr>
      <w:rPr>
        <w:rFonts w:hint="default"/>
        <w:lang w:val="tr-TR" w:eastAsia="tr-TR" w:bidi="tr-TR"/>
      </w:rPr>
    </w:lvl>
    <w:lvl w:ilvl="8">
      <w:start w:val="0"/>
      <w:numFmt w:val="bullet"/>
      <w:lvlText w:val="•"/>
      <w:lvlJc w:val="left"/>
      <w:pPr>
        <w:ind w:left="8704" w:hanging="303"/>
      </w:pPr>
      <w:rPr>
        <w:rFonts w:hint="default"/>
        <w:lang w:val="tr-TR" w:eastAsia="tr-TR" w:bidi="tr-TR"/>
      </w:rPr>
    </w:lvl>
  </w:abstractNum>
  <w:abstractNum w:abstractNumId="74">
    <w:multiLevelType w:val="hybridMultilevel"/>
    <w:lvl w:ilvl="0">
      <w:start w:val="1"/>
      <w:numFmt w:val="decimal"/>
      <w:lvlText w:val="%1."/>
      <w:lvlJc w:val="left"/>
      <w:pPr>
        <w:ind w:left="726" w:hanging="41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413"/>
      </w:pPr>
      <w:rPr>
        <w:rFonts w:hint="default"/>
        <w:lang w:val="tr-TR" w:eastAsia="tr-TR" w:bidi="tr-TR"/>
      </w:rPr>
    </w:lvl>
    <w:lvl w:ilvl="2">
      <w:start w:val="0"/>
      <w:numFmt w:val="bullet"/>
      <w:lvlText w:val="•"/>
      <w:lvlJc w:val="left"/>
      <w:pPr>
        <w:ind w:left="2716" w:hanging="413"/>
      </w:pPr>
      <w:rPr>
        <w:rFonts w:hint="default"/>
        <w:lang w:val="tr-TR" w:eastAsia="tr-TR" w:bidi="tr-TR"/>
      </w:rPr>
    </w:lvl>
    <w:lvl w:ilvl="3">
      <w:start w:val="0"/>
      <w:numFmt w:val="bullet"/>
      <w:lvlText w:val="•"/>
      <w:lvlJc w:val="left"/>
      <w:pPr>
        <w:ind w:left="3714" w:hanging="413"/>
      </w:pPr>
      <w:rPr>
        <w:rFonts w:hint="default"/>
        <w:lang w:val="tr-TR" w:eastAsia="tr-TR" w:bidi="tr-TR"/>
      </w:rPr>
    </w:lvl>
    <w:lvl w:ilvl="4">
      <w:start w:val="0"/>
      <w:numFmt w:val="bullet"/>
      <w:lvlText w:val="•"/>
      <w:lvlJc w:val="left"/>
      <w:pPr>
        <w:ind w:left="4712" w:hanging="413"/>
      </w:pPr>
      <w:rPr>
        <w:rFonts w:hint="default"/>
        <w:lang w:val="tr-TR" w:eastAsia="tr-TR" w:bidi="tr-TR"/>
      </w:rPr>
    </w:lvl>
    <w:lvl w:ilvl="5">
      <w:start w:val="0"/>
      <w:numFmt w:val="bullet"/>
      <w:lvlText w:val="•"/>
      <w:lvlJc w:val="left"/>
      <w:pPr>
        <w:ind w:left="5710" w:hanging="413"/>
      </w:pPr>
      <w:rPr>
        <w:rFonts w:hint="default"/>
        <w:lang w:val="tr-TR" w:eastAsia="tr-TR" w:bidi="tr-TR"/>
      </w:rPr>
    </w:lvl>
    <w:lvl w:ilvl="6">
      <w:start w:val="0"/>
      <w:numFmt w:val="bullet"/>
      <w:lvlText w:val="•"/>
      <w:lvlJc w:val="left"/>
      <w:pPr>
        <w:ind w:left="6708" w:hanging="413"/>
      </w:pPr>
      <w:rPr>
        <w:rFonts w:hint="default"/>
        <w:lang w:val="tr-TR" w:eastAsia="tr-TR" w:bidi="tr-TR"/>
      </w:rPr>
    </w:lvl>
    <w:lvl w:ilvl="7">
      <w:start w:val="0"/>
      <w:numFmt w:val="bullet"/>
      <w:lvlText w:val="•"/>
      <w:lvlJc w:val="left"/>
      <w:pPr>
        <w:ind w:left="7706" w:hanging="413"/>
      </w:pPr>
      <w:rPr>
        <w:rFonts w:hint="default"/>
        <w:lang w:val="tr-TR" w:eastAsia="tr-TR" w:bidi="tr-TR"/>
      </w:rPr>
    </w:lvl>
    <w:lvl w:ilvl="8">
      <w:start w:val="0"/>
      <w:numFmt w:val="bullet"/>
      <w:lvlText w:val="•"/>
      <w:lvlJc w:val="left"/>
      <w:pPr>
        <w:ind w:left="8704" w:hanging="413"/>
      </w:pPr>
      <w:rPr>
        <w:rFonts w:hint="default"/>
        <w:lang w:val="tr-TR" w:eastAsia="tr-TR" w:bidi="tr-TR"/>
      </w:rPr>
    </w:lvl>
  </w:abstractNum>
  <w:abstractNum w:abstractNumId="73">
    <w:multiLevelType w:val="hybridMultilevel"/>
    <w:lvl w:ilvl="0">
      <w:start w:val="1"/>
      <w:numFmt w:val="lowerLetter"/>
      <w:lvlText w:val="(%1)"/>
      <w:lvlJc w:val="left"/>
      <w:pPr>
        <w:ind w:left="1022" w:hanging="355"/>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55"/>
      </w:pPr>
      <w:rPr>
        <w:rFonts w:hint="default"/>
        <w:lang w:val="tr-TR" w:eastAsia="tr-TR" w:bidi="tr-TR"/>
      </w:rPr>
    </w:lvl>
    <w:lvl w:ilvl="2">
      <w:start w:val="0"/>
      <w:numFmt w:val="bullet"/>
      <w:lvlText w:val="•"/>
      <w:lvlJc w:val="left"/>
      <w:pPr>
        <w:ind w:left="2956" w:hanging="355"/>
      </w:pPr>
      <w:rPr>
        <w:rFonts w:hint="default"/>
        <w:lang w:val="tr-TR" w:eastAsia="tr-TR" w:bidi="tr-TR"/>
      </w:rPr>
    </w:lvl>
    <w:lvl w:ilvl="3">
      <w:start w:val="0"/>
      <w:numFmt w:val="bullet"/>
      <w:lvlText w:val="•"/>
      <w:lvlJc w:val="left"/>
      <w:pPr>
        <w:ind w:left="3924" w:hanging="355"/>
      </w:pPr>
      <w:rPr>
        <w:rFonts w:hint="default"/>
        <w:lang w:val="tr-TR" w:eastAsia="tr-TR" w:bidi="tr-TR"/>
      </w:rPr>
    </w:lvl>
    <w:lvl w:ilvl="4">
      <w:start w:val="0"/>
      <w:numFmt w:val="bullet"/>
      <w:lvlText w:val="•"/>
      <w:lvlJc w:val="left"/>
      <w:pPr>
        <w:ind w:left="4892" w:hanging="355"/>
      </w:pPr>
      <w:rPr>
        <w:rFonts w:hint="default"/>
        <w:lang w:val="tr-TR" w:eastAsia="tr-TR" w:bidi="tr-TR"/>
      </w:rPr>
    </w:lvl>
    <w:lvl w:ilvl="5">
      <w:start w:val="0"/>
      <w:numFmt w:val="bullet"/>
      <w:lvlText w:val="•"/>
      <w:lvlJc w:val="left"/>
      <w:pPr>
        <w:ind w:left="5860" w:hanging="355"/>
      </w:pPr>
      <w:rPr>
        <w:rFonts w:hint="default"/>
        <w:lang w:val="tr-TR" w:eastAsia="tr-TR" w:bidi="tr-TR"/>
      </w:rPr>
    </w:lvl>
    <w:lvl w:ilvl="6">
      <w:start w:val="0"/>
      <w:numFmt w:val="bullet"/>
      <w:lvlText w:val="•"/>
      <w:lvlJc w:val="left"/>
      <w:pPr>
        <w:ind w:left="6828" w:hanging="355"/>
      </w:pPr>
      <w:rPr>
        <w:rFonts w:hint="default"/>
        <w:lang w:val="tr-TR" w:eastAsia="tr-TR" w:bidi="tr-TR"/>
      </w:rPr>
    </w:lvl>
    <w:lvl w:ilvl="7">
      <w:start w:val="0"/>
      <w:numFmt w:val="bullet"/>
      <w:lvlText w:val="•"/>
      <w:lvlJc w:val="left"/>
      <w:pPr>
        <w:ind w:left="7796" w:hanging="355"/>
      </w:pPr>
      <w:rPr>
        <w:rFonts w:hint="default"/>
        <w:lang w:val="tr-TR" w:eastAsia="tr-TR" w:bidi="tr-TR"/>
      </w:rPr>
    </w:lvl>
    <w:lvl w:ilvl="8">
      <w:start w:val="0"/>
      <w:numFmt w:val="bullet"/>
      <w:lvlText w:val="•"/>
      <w:lvlJc w:val="left"/>
      <w:pPr>
        <w:ind w:left="8764" w:hanging="355"/>
      </w:pPr>
      <w:rPr>
        <w:rFonts w:hint="default"/>
        <w:lang w:val="tr-TR" w:eastAsia="tr-TR" w:bidi="tr-TR"/>
      </w:rPr>
    </w:lvl>
  </w:abstractNum>
  <w:abstractNum w:abstractNumId="72">
    <w:multiLevelType w:val="hybridMultilevel"/>
    <w:lvl w:ilvl="0">
      <w:start w:val="1"/>
      <w:numFmt w:val="decimal"/>
      <w:lvlText w:val="%1."/>
      <w:lvlJc w:val="left"/>
      <w:pPr>
        <w:ind w:left="726" w:hanging="317"/>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317"/>
      </w:pPr>
      <w:rPr>
        <w:rFonts w:hint="default"/>
        <w:lang w:val="tr-TR" w:eastAsia="tr-TR" w:bidi="tr-TR"/>
      </w:rPr>
    </w:lvl>
    <w:lvl w:ilvl="2">
      <w:start w:val="0"/>
      <w:numFmt w:val="bullet"/>
      <w:lvlText w:val="•"/>
      <w:lvlJc w:val="left"/>
      <w:pPr>
        <w:ind w:left="2716" w:hanging="317"/>
      </w:pPr>
      <w:rPr>
        <w:rFonts w:hint="default"/>
        <w:lang w:val="tr-TR" w:eastAsia="tr-TR" w:bidi="tr-TR"/>
      </w:rPr>
    </w:lvl>
    <w:lvl w:ilvl="3">
      <w:start w:val="0"/>
      <w:numFmt w:val="bullet"/>
      <w:lvlText w:val="•"/>
      <w:lvlJc w:val="left"/>
      <w:pPr>
        <w:ind w:left="3714" w:hanging="317"/>
      </w:pPr>
      <w:rPr>
        <w:rFonts w:hint="default"/>
        <w:lang w:val="tr-TR" w:eastAsia="tr-TR" w:bidi="tr-TR"/>
      </w:rPr>
    </w:lvl>
    <w:lvl w:ilvl="4">
      <w:start w:val="0"/>
      <w:numFmt w:val="bullet"/>
      <w:lvlText w:val="•"/>
      <w:lvlJc w:val="left"/>
      <w:pPr>
        <w:ind w:left="4712" w:hanging="317"/>
      </w:pPr>
      <w:rPr>
        <w:rFonts w:hint="default"/>
        <w:lang w:val="tr-TR" w:eastAsia="tr-TR" w:bidi="tr-TR"/>
      </w:rPr>
    </w:lvl>
    <w:lvl w:ilvl="5">
      <w:start w:val="0"/>
      <w:numFmt w:val="bullet"/>
      <w:lvlText w:val="•"/>
      <w:lvlJc w:val="left"/>
      <w:pPr>
        <w:ind w:left="5710" w:hanging="317"/>
      </w:pPr>
      <w:rPr>
        <w:rFonts w:hint="default"/>
        <w:lang w:val="tr-TR" w:eastAsia="tr-TR" w:bidi="tr-TR"/>
      </w:rPr>
    </w:lvl>
    <w:lvl w:ilvl="6">
      <w:start w:val="0"/>
      <w:numFmt w:val="bullet"/>
      <w:lvlText w:val="•"/>
      <w:lvlJc w:val="left"/>
      <w:pPr>
        <w:ind w:left="6708" w:hanging="317"/>
      </w:pPr>
      <w:rPr>
        <w:rFonts w:hint="default"/>
        <w:lang w:val="tr-TR" w:eastAsia="tr-TR" w:bidi="tr-TR"/>
      </w:rPr>
    </w:lvl>
    <w:lvl w:ilvl="7">
      <w:start w:val="0"/>
      <w:numFmt w:val="bullet"/>
      <w:lvlText w:val="•"/>
      <w:lvlJc w:val="left"/>
      <w:pPr>
        <w:ind w:left="7706" w:hanging="317"/>
      </w:pPr>
      <w:rPr>
        <w:rFonts w:hint="default"/>
        <w:lang w:val="tr-TR" w:eastAsia="tr-TR" w:bidi="tr-TR"/>
      </w:rPr>
    </w:lvl>
    <w:lvl w:ilvl="8">
      <w:start w:val="0"/>
      <w:numFmt w:val="bullet"/>
      <w:lvlText w:val="•"/>
      <w:lvlJc w:val="left"/>
      <w:pPr>
        <w:ind w:left="8704" w:hanging="317"/>
      </w:pPr>
      <w:rPr>
        <w:rFonts w:hint="default"/>
        <w:lang w:val="tr-TR" w:eastAsia="tr-TR" w:bidi="tr-TR"/>
      </w:rPr>
    </w:lvl>
  </w:abstractNum>
  <w:abstractNum w:abstractNumId="71">
    <w:multiLevelType w:val="hybridMultilevel"/>
    <w:lvl w:ilvl="0">
      <w:start w:val="7"/>
      <w:numFmt w:val="lowerLetter"/>
      <w:lvlText w:val="(%1)"/>
      <w:lvlJc w:val="left"/>
      <w:pPr>
        <w:ind w:left="1024"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70">
    <w:multiLevelType w:val="hybridMultilevel"/>
    <w:lvl w:ilvl="0">
      <w:start w:val="1"/>
      <w:numFmt w:val="lowerLetter"/>
      <w:lvlText w:val="(%1)"/>
      <w:lvlJc w:val="left"/>
      <w:pPr>
        <w:ind w:left="726"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300"/>
      </w:pPr>
      <w:rPr>
        <w:rFonts w:hint="default"/>
        <w:lang w:val="tr-TR" w:eastAsia="tr-TR" w:bidi="tr-TR"/>
      </w:rPr>
    </w:lvl>
    <w:lvl w:ilvl="2">
      <w:start w:val="0"/>
      <w:numFmt w:val="bullet"/>
      <w:lvlText w:val="•"/>
      <w:lvlJc w:val="left"/>
      <w:pPr>
        <w:ind w:left="2716" w:hanging="300"/>
      </w:pPr>
      <w:rPr>
        <w:rFonts w:hint="default"/>
        <w:lang w:val="tr-TR" w:eastAsia="tr-TR" w:bidi="tr-TR"/>
      </w:rPr>
    </w:lvl>
    <w:lvl w:ilvl="3">
      <w:start w:val="0"/>
      <w:numFmt w:val="bullet"/>
      <w:lvlText w:val="•"/>
      <w:lvlJc w:val="left"/>
      <w:pPr>
        <w:ind w:left="3714" w:hanging="300"/>
      </w:pPr>
      <w:rPr>
        <w:rFonts w:hint="default"/>
        <w:lang w:val="tr-TR" w:eastAsia="tr-TR" w:bidi="tr-TR"/>
      </w:rPr>
    </w:lvl>
    <w:lvl w:ilvl="4">
      <w:start w:val="0"/>
      <w:numFmt w:val="bullet"/>
      <w:lvlText w:val="•"/>
      <w:lvlJc w:val="left"/>
      <w:pPr>
        <w:ind w:left="4712" w:hanging="300"/>
      </w:pPr>
      <w:rPr>
        <w:rFonts w:hint="default"/>
        <w:lang w:val="tr-TR" w:eastAsia="tr-TR" w:bidi="tr-TR"/>
      </w:rPr>
    </w:lvl>
    <w:lvl w:ilvl="5">
      <w:start w:val="0"/>
      <w:numFmt w:val="bullet"/>
      <w:lvlText w:val="•"/>
      <w:lvlJc w:val="left"/>
      <w:pPr>
        <w:ind w:left="5710" w:hanging="300"/>
      </w:pPr>
      <w:rPr>
        <w:rFonts w:hint="default"/>
        <w:lang w:val="tr-TR" w:eastAsia="tr-TR" w:bidi="tr-TR"/>
      </w:rPr>
    </w:lvl>
    <w:lvl w:ilvl="6">
      <w:start w:val="0"/>
      <w:numFmt w:val="bullet"/>
      <w:lvlText w:val="•"/>
      <w:lvlJc w:val="left"/>
      <w:pPr>
        <w:ind w:left="6708" w:hanging="300"/>
      </w:pPr>
      <w:rPr>
        <w:rFonts w:hint="default"/>
        <w:lang w:val="tr-TR" w:eastAsia="tr-TR" w:bidi="tr-TR"/>
      </w:rPr>
    </w:lvl>
    <w:lvl w:ilvl="7">
      <w:start w:val="0"/>
      <w:numFmt w:val="bullet"/>
      <w:lvlText w:val="•"/>
      <w:lvlJc w:val="left"/>
      <w:pPr>
        <w:ind w:left="7706" w:hanging="300"/>
      </w:pPr>
      <w:rPr>
        <w:rFonts w:hint="default"/>
        <w:lang w:val="tr-TR" w:eastAsia="tr-TR" w:bidi="tr-TR"/>
      </w:rPr>
    </w:lvl>
    <w:lvl w:ilvl="8">
      <w:start w:val="0"/>
      <w:numFmt w:val="bullet"/>
      <w:lvlText w:val="•"/>
      <w:lvlJc w:val="left"/>
      <w:pPr>
        <w:ind w:left="8704" w:hanging="300"/>
      </w:pPr>
      <w:rPr>
        <w:rFonts w:hint="default"/>
        <w:lang w:val="tr-TR" w:eastAsia="tr-TR" w:bidi="tr-TR"/>
      </w:rPr>
    </w:lvl>
  </w:abstractNum>
  <w:abstractNum w:abstractNumId="69">
    <w:multiLevelType w:val="hybridMultilevel"/>
    <w:lvl w:ilvl="0">
      <w:start w:val="1"/>
      <w:numFmt w:val="decimal"/>
      <w:lvlText w:val="%1."/>
      <w:lvlJc w:val="left"/>
      <w:pPr>
        <w:ind w:left="726" w:hanging="226"/>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26"/>
      </w:pPr>
      <w:rPr>
        <w:rFonts w:hint="default"/>
        <w:lang w:val="tr-TR" w:eastAsia="tr-TR" w:bidi="tr-TR"/>
      </w:rPr>
    </w:lvl>
    <w:lvl w:ilvl="2">
      <w:start w:val="0"/>
      <w:numFmt w:val="bullet"/>
      <w:lvlText w:val="•"/>
      <w:lvlJc w:val="left"/>
      <w:pPr>
        <w:ind w:left="2716" w:hanging="226"/>
      </w:pPr>
      <w:rPr>
        <w:rFonts w:hint="default"/>
        <w:lang w:val="tr-TR" w:eastAsia="tr-TR" w:bidi="tr-TR"/>
      </w:rPr>
    </w:lvl>
    <w:lvl w:ilvl="3">
      <w:start w:val="0"/>
      <w:numFmt w:val="bullet"/>
      <w:lvlText w:val="•"/>
      <w:lvlJc w:val="left"/>
      <w:pPr>
        <w:ind w:left="3714" w:hanging="226"/>
      </w:pPr>
      <w:rPr>
        <w:rFonts w:hint="default"/>
        <w:lang w:val="tr-TR" w:eastAsia="tr-TR" w:bidi="tr-TR"/>
      </w:rPr>
    </w:lvl>
    <w:lvl w:ilvl="4">
      <w:start w:val="0"/>
      <w:numFmt w:val="bullet"/>
      <w:lvlText w:val="•"/>
      <w:lvlJc w:val="left"/>
      <w:pPr>
        <w:ind w:left="4712" w:hanging="226"/>
      </w:pPr>
      <w:rPr>
        <w:rFonts w:hint="default"/>
        <w:lang w:val="tr-TR" w:eastAsia="tr-TR" w:bidi="tr-TR"/>
      </w:rPr>
    </w:lvl>
    <w:lvl w:ilvl="5">
      <w:start w:val="0"/>
      <w:numFmt w:val="bullet"/>
      <w:lvlText w:val="•"/>
      <w:lvlJc w:val="left"/>
      <w:pPr>
        <w:ind w:left="5710" w:hanging="226"/>
      </w:pPr>
      <w:rPr>
        <w:rFonts w:hint="default"/>
        <w:lang w:val="tr-TR" w:eastAsia="tr-TR" w:bidi="tr-TR"/>
      </w:rPr>
    </w:lvl>
    <w:lvl w:ilvl="6">
      <w:start w:val="0"/>
      <w:numFmt w:val="bullet"/>
      <w:lvlText w:val="•"/>
      <w:lvlJc w:val="left"/>
      <w:pPr>
        <w:ind w:left="6708" w:hanging="226"/>
      </w:pPr>
      <w:rPr>
        <w:rFonts w:hint="default"/>
        <w:lang w:val="tr-TR" w:eastAsia="tr-TR" w:bidi="tr-TR"/>
      </w:rPr>
    </w:lvl>
    <w:lvl w:ilvl="7">
      <w:start w:val="0"/>
      <w:numFmt w:val="bullet"/>
      <w:lvlText w:val="•"/>
      <w:lvlJc w:val="left"/>
      <w:pPr>
        <w:ind w:left="7706" w:hanging="226"/>
      </w:pPr>
      <w:rPr>
        <w:rFonts w:hint="default"/>
        <w:lang w:val="tr-TR" w:eastAsia="tr-TR" w:bidi="tr-TR"/>
      </w:rPr>
    </w:lvl>
    <w:lvl w:ilvl="8">
      <w:start w:val="0"/>
      <w:numFmt w:val="bullet"/>
      <w:lvlText w:val="•"/>
      <w:lvlJc w:val="left"/>
      <w:pPr>
        <w:ind w:left="8704" w:hanging="226"/>
      </w:pPr>
      <w:rPr>
        <w:rFonts w:hint="default"/>
        <w:lang w:val="tr-TR" w:eastAsia="tr-TR" w:bidi="tr-TR"/>
      </w:rPr>
    </w:lvl>
  </w:abstractNum>
  <w:abstractNum w:abstractNumId="68">
    <w:multiLevelType w:val="hybridMultilevel"/>
    <w:lvl w:ilvl="0">
      <w:start w:val="1"/>
      <w:numFmt w:val="lowerLetter"/>
      <w:lvlText w:val="(%1)"/>
      <w:lvlJc w:val="left"/>
      <w:pPr>
        <w:ind w:left="1022" w:hanging="326"/>
        <w:jc w:val="left"/>
      </w:pPr>
      <w:rPr>
        <w:rFonts w:hint="default" w:ascii="Arial" w:hAnsi="Arial" w:eastAsia="Arial" w:cs="Arial"/>
        <w:w w:val="99"/>
        <w:sz w:val="20"/>
        <w:szCs w:val="20"/>
        <w:lang w:val="tr-TR" w:eastAsia="tr-TR" w:bidi="tr-TR"/>
      </w:rPr>
    </w:lvl>
    <w:lvl w:ilvl="1">
      <w:start w:val="0"/>
      <w:numFmt w:val="bullet"/>
      <w:lvlText w:val="•"/>
      <w:lvlJc w:val="left"/>
      <w:pPr>
        <w:ind w:left="1988" w:hanging="326"/>
      </w:pPr>
      <w:rPr>
        <w:rFonts w:hint="default"/>
        <w:lang w:val="tr-TR" w:eastAsia="tr-TR" w:bidi="tr-TR"/>
      </w:rPr>
    </w:lvl>
    <w:lvl w:ilvl="2">
      <w:start w:val="0"/>
      <w:numFmt w:val="bullet"/>
      <w:lvlText w:val="•"/>
      <w:lvlJc w:val="left"/>
      <w:pPr>
        <w:ind w:left="2956" w:hanging="326"/>
      </w:pPr>
      <w:rPr>
        <w:rFonts w:hint="default"/>
        <w:lang w:val="tr-TR" w:eastAsia="tr-TR" w:bidi="tr-TR"/>
      </w:rPr>
    </w:lvl>
    <w:lvl w:ilvl="3">
      <w:start w:val="0"/>
      <w:numFmt w:val="bullet"/>
      <w:lvlText w:val="•"/>
      <w:lvlJc w:val="left"/>
      <w:pPr>
        <w:ind w:left="3924" w:hanging="326"/>
      </w:pPr>
      <w:rPr>
        <w:rFonts w:hint="default"/>
        <w:lang w:val="tr-TR" w:eastAsia="tr-TR" w:bidi="tr-TR"/>
      </w:rPr>
    </w:lvl>
    <w:lvl w:ilvl="4">
      <w:start w:val="0"/>
      <w:numFmt w:val="bullet"/>
      <w:lvlText w:val="•"/>
      <w:lvlJc w:val="left"/>
      <w:pPr>
        <w:ind w:left="4892" w:hanging="326"/>
      </w:pPr>
      <w:rPr>
        <w:rFonts w:hint="default"/>
        <w:lang w:val="tr-TR" w:eastAsia="tr-TR" w:bidi="tr-TR"/>
      </w:rPr>
    </w:lvl>
    <w:lvl w:ilvl="5">
      <w:start w:val="0"/>
      <w:numFmt w:val="bullet"/>
      <w:lvlText w:val="•"/>
      <w:lvlJc w:val="left"/>
      <w:pPr>
        <w:ind w:left="5860" w:hanging="326"/>
      </w:pPr>
      <w:rPr>
        <w:rFonts w:hint="default"/>
        <w:lang w:val="tr-TR" w:eastAsia="tr-TR" w:bidi="tr-TR"/>
      </w:rPr>
    </w:lvl>
    <w:lvl w:ilvl="6">
      <w:start w:val="0"/>
      <w:numFmt w:val="bullet"/>
      <w:lvlText w:val="•"/>
      <w:lvlJc w:val="left"/>
      <w:pPr>
        <w:ind w:left="6828" w:hanging="326"/>
      </w:pPr>
      <w:rPr>
        <w:rFonts w:hint="default"/>
        <w:lang w:val="tr-TR" w:eastAsia="tr-TR" w:bidi="tr-TR"/>
      </w:rPr>
    </w:lvl>
    <w:lvl w:ilvl="7">
      <w:start w:val="0"/>
      <w:numFmt w:val="bullet"/>
      <w:lvlText w:val="•"/>
      <w:lvlJc w:val="left"/>
      <w:pPr>
        <w:ind w:left="7796" w:hanging="326"/>
      </w:pPr>
      <w:rPr>
        <w:rFonts w:hint="default"/>
        <w:lang w:val="tr-TR" w:eastAsia="tr-TR" w:bidi="tr-TR"/>
      </w:rPr>
    </w:lvl>
    <w:lvl w:ilvl="8">
      <w:start w:val="0"/>
      <w:numFmt w:val="bullet"/>
      <w:lvlText w:val="•"/>
      <w:lvlJc w:val="left"/>
      <w:pPr>
        <w:ind w:left="8764" w:hanging="326"/>
      </w:pPr>
      <w:rPr>
        <w:rFonts w:hint="default"/>
        <w:lang w:val="tr-TR" w:eastAsia="tr-TR" w:bidi="tr-TR"/>
      </w:rPr>
    </w:lvl>
  </w:abstractNum>
  <w:abstractNum w:abstractNumId="67">
    <w:multiLevelType w:val="hybridMultilevel"/>
    <w:lvl w:ilvl="0">
      <w:start w:val="1"/>
      <w:numFmt w:val="decimal"/>
      <w:lvlText w:val="%1."/>
      <w:lvlJc w:val="left"/>
      <w:pPr>
        <w:ind w:left="726" w:hanging="221"/>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21"/>
      </w:pPr>
      <w:rPr>
        <w:rFonts w:hint="default"/>
        <w:lang w:val="tr-TR" w:eastAsia="tr-TR" w:bidi="tr-TR"/>
      </w:rPr>
    </w:lvl>
    <w:lvl w:ilvl="2">
      <w:start w:val="0"/>
      <w:numFmt w:val="bullet"/>
      <w:lvlText w:val="•"/>
      <w:lvlJc w:val="left"/>
      <w:pPr>
        <w:ind w:left="2716" w:hanging="221"/>
      </w:pPr>
      <w:rPr>
        <w:rFonts w:hint="default"/>
        <w:lang w:val="tr-TR" w:eastAsia="tr-TR" w:bidi="tr-TR"/>
      </w:rPr>
    </w:lvl>
    <w:lvl w:ilvl="3">
      <w:start w:val="0"/>
      <w:numFmt w:val="bullet"/>
      <w:lvlText w:val="•"/>
      <w:lvlJc w:val="left"/>
      <w:pPr>
        <w:ind w:left="3714" w:hanging="221"/>
      </w:pPr>
      <w:rPr>
        <w:rFonts w:hint="default"/>
        <w:lang w:val="tr-TR" w:eastAsia="tr-TR" w:bidi="tr-TR"/>
      </w:rPr>
    </w:lvl>
    <w:lvl w:ilvl="4">
      <w:start w:val="0"/>
      <w:numFmt w:val="bullet"/>
      <w:lvlText w:val="•"/>
      <w:lvlJc w:val="left"/>
      <w:pPr>
        <w:ind w:left="4712" w:hanging="221"/>
      </w:pPr>
      <w:rPr>
        <w:rFonts w:hint="default"/>
        <w:lang w:val="tr-TR" w:eastAsia="tr-TR" w:bidi="tr-TR"/>
      </w:rPr>
    </w:lvl>
    <w:lvl w:ilvl="5">
      <w:start w:val="0"/>
      <w:numFmt w:val="bullet"/>
      <w:lvlText w:val="•"/>
      <w:lvlJc w:val="left"/>
      <w:pPr>
        <w:ind w:left="5710" w:hanging="221"/>
      </w:pPr>
      <w:rPr>
        <w:rFonts w:hint="default"/>
        <w:lang w:val="tr-TR" w:eastAsia="tr-TR" w:bidi="tr-TR"/>
      </w:rPr>
    </w:lvl>
    <w:lvl w:ilvl="6">
      <w:start w:val="0"/>
      <w:numFmt w:val="bullet"/>
      <w:lvlText w:val="•"/>
      <w:lvlJc w:val="left"/>
      <w:pPr>
        <w:ind w:left="6708" w:hanging="221"/>
      </w:pPr>
      <w:rPr>
        <w:rFonts w:hint="default"/>
        <w:lang w:val="tr-TR" w:eastAsia="tr-TR" w:bidi="tr-TR"/>
      </w:rPr>
    </w:lvl>
    <w:lvl w:ilvl="7">
      <w:start w:val="0"/>
      <w:numFmt w:val="bullet"/>
      <w:lvlText w:val="•"/>
      <w:lvlJc w:val="left"/>
      <w:pPr>
        <w:ind w:left="7706" w:hanging="221"/>
      </w:pPr>
      <w:rPr>
        <w:rFonts w:hint="default"/>
        <w:lang w:val="tr-TR" w:eastAsia="tr-TR" w:bidi="tr-TR"/>
      </w:rPr>
    </w:lvl>
    <w:lvl w:ilvl="8">
      <w:start w:val="0"/>
      <w:numFmt w:val="bullet"/>
      <w:lvlText w:val="•"/>
      <w:lvlJc w:val="left"/>
      <w:pPr>
        <w:ind w:left="8704" w:hanging="221"/>
      </w:pPr>
      <w:rPr>
        <w:rFonts w:hint="default"/>
        <w:lang w:val="tr-TR" w:eastAsia="tr-TR" w:bidi="tr-TR"/>
      </w:rPr>
    </w:lvl>
  </w:abstractNum>
  <w:abstractNum w:abstractNumId="66">
    <w:multiLevelType w:val="hybridMultilevel"/>
    <w:lvl w:ilvl="0">
      <w:start w:val="1"/>
      <w:numFmt w:val="decimal"/>
      <w:lvlText w:val="%1."/>
      <w:lvlJc w:val="left"/>
      <w:pPr>
        <w:ind w:left="726" w:hanging="41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413"/>
      </w:pPr>
      <w:rPr>
        <w:rFonts w:hint="default"/>
        <w:lang w:val="tr-TR" w:eastAsia="tr-TR" w:bidi="tr-TR"/>
      </w:rPr>
    </w:lvl>
    <w:lvl w:ilvl="2">
      <w:start w:val="0"/>
      <w:numFmt w:val="bullet"/>
      <w:lvlText w:val="•"/>
      <w:lvlJc w:val="left"/>
      <w:pPr>
        <w:ind w:left="2716" w:hanging="413"/>
      </w:pPr>
      <w:rPr>
        <w:rFonts w:hint="default"/>
        <w:lang w:val="tr-TR" w:eastAsia="tr-TR" w:bidi="tr-TR"/>
      </w:rPr>
    </w:lvl>
    <w:lvl w:ilvl="3">
      <w:start w:val="0"/>
      <w:numFmt w:val="bullet"/>
      <w:lvlText w:val="•"/>
      <w:lvlJc w:val="left"/>
      <w:pPr>
        <w:ind w:left="3714" w:hanging="413"/>
      </w:pPr>
      <w:rPr>
        <w:rFonts w:hint="default"/>
        <w:lang w:val="tr-TR" w:eastAsia="tr-TR" w:bidi="tr-TR"/>
      </w:rPr>
    </w:lvl>
    <w:lvl w:ilvl="4">
      <w:start w:val="0"/>
      <w:numFmt w:val="bullet"/>
      <w:lvlText w:val="•"/>
      <w:lvlJc w:val="left"/>
      <w:pPr>
        <w:ind w:left="4712" w:hanging="413"/>
      </w:pPr>
      <w:rPr>
        <w:rFonts w:hint="default"/>
        <w:lang w:val="tr-TR" w:eastAsia="tr-TR" w:bidi="tr-TR"/>
      </w:rPr>
    </w:lvl>
    <w:lvl w:ilvl="5">
      <w:start w:val="0"/>
      <w:numFmt w:val="bullet"/>
      <w:lvlText w:val="•"/>
      <w:lvlJc w:val="left"/>
      <w:pPr>
        <w:ind w:left="5710" w:hanging="413"/>
      </w:pPr>
      <w:rPr>
        <w:rFonts w:hint="default"/>
        <w:lang w:val="tr-TR" w:eastAsia="tr-TR" w:bidi="tr-TR"/>
      </w:rPr>
    </w:lvl>
    <w:lvl w:ilvl="6">
      <w:start w:val="0"/>
      <w:numFmt w:val="bullet"/>
      <w:lvlText w:val="•"/>
      <w:lvlJc w:val="left"/>
      <w:pPr>
        <w:ind w:left="6708" w:hanging="413"/>
      </w:pPr>
      <w:rPr>
        <w:rFonts w:hint="default"/>
        <w:lang w:val="tr-TR" w:eastAsia="tr-TR" w:bidi="tr-TR"/>
      </w:rPr>
    </w:lvl>
    <w:lvl w:ilvl="7">
      <w:start w:val="0"/>
      <w:numFmt w:val="bullet"/>
      <w:lvlText w:val="•"/>
      <w:lvlJc w:val="left"/>
      <w:pPr>
        <w:ind w:left="7706" w:hanging="413"/>
      </w:pPr>
      <w:rPr>
        <w:rFonts w:hint="default"/>
        <w:lang w:val="tr-TR" w:eastAsia="tr-TR" w:bidi="tr-TR"/>
      </w:rPr>
    </w:lvl>
    <w:lvl w:ilvl="8">
      <w:start w:val="0"/>
      <w:numFmt w:val="bullet"/>
      <w:lvlText w:val="•"/>
      <w:lvlJc w:val="left"/>
      <w:pPr>
        <w:ind w:left="8704" w:hanging="413"/>
      </w:pPr>
      <w:rPr>
        <w:rFonts w:hint="default"/>
        <w:lang w:val="tr-TR" w:eastAsia="tr-TR" w:bidi="tr-TR"/>
      </w:rPr>
    </w:lvl>
  </w:abstractNum>
  <w:abstractNum w:abstractNumId="65">
    <w:multiLevelType w:val="hybridMultilevel"/>
    <w:lvl w:ilvl="0">
      <w:start w:val="1"/>
      <w:numFmt w:val="lowerLetter"/>
      <w:lvlText w:val="(%1)"/>
      <w:lvlJc w:val="left"/>
      <w:pPr>
        <w:ind w:left="726" w:hanging="317"/>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317"/>
      </w:pPr>
      <w:rPr>
        <w:rFonts w:hint="default"/>
        <w:lang w:val="tr-TR" w:eastAsia="tr-TR" w:bidi="tr-TR"/>
      </w:rPr>
    </w:lvl>
    <w:lvl w:ilvl="2">
      <w:start w:val="0"/>
      <w:numFmt w:val="bullet"/>
      <w:lvlText w:val="•"/>
      <w:lvlJc w:val="left"/>
      <w:pPr>
        <w:ind w:left="2716" w:hanging="317"/>
      </w:pPr>
      <w:rPr>
        <w:rFonts w:hint="default"/>
        <w:lang w:val="tr-TR" w:eastAsia="tr-TR" w:bidi="tr-TR"/>
      </w:rPr>
    </w:lvl>
    <w:lvl w:ilvl="3">
      <w:start w:val="0"/>
      <w:numFmt w:val="bullet"/>
      <w:lvlText w:val="•"/>
      <w:lvlJc w:val="left"/>
      <w:pPr>
        <w:ind w:left="3714" w:hanging="317"/>
      </w:pPr>
      <w:rPr>
        <w:rFonts w:hint="default"/>
        <w:lang w:val="tr-TR" w:eastAsia="tr-TR" w:bidi="tr-TR"/>
      </w:rPr>
    </w:lvl>
    <w:lvl w:ilvl="4">
      <w:start w:val="0"/>
      <w:numFmt w:val="bullet"/>
      <w:lvlText w:val="•"/>
      <w:lvlJc w:val="left"/>
      <w:pPr>
        <w:ind w:left="4712" w:hanging="317"/>
      </w:pPr>
      <w:rPr>
        <w:rFonts w:hint="default"/>
        <w:lang w:val="tr-TR" w:eastAsia="tr-TR" w:bidi="tr-TR"/>
      </w:rPr>
    </w:lvl>
    <w:lvl w:ilvl="5">
      <w:start w:val="0"/>
      <w:numFmt w:val="bullet"/>
      <w:lvlText w:val="•"/>
      <w:lvlJc w:val="left"/>
      <w:pPr>
        <w:ind w:left="5710" w:hanging="317"/>
      </w:pPr>
      <w:rPr>
        <w:rFonts w:hint="default"/>
        <w:lang w:val="tr-TR" w:eastAsia="tr-TR" w:bidi="tr-TR"/>
      </w:rPr>
    </w:lvl>
    <w:lvl w:ilvl="6">
      <w:start w:val="0"/>
      <w:numFmt w:val="bullet"/>
      <w:lvlText w:val="•"/>
      <w:lvlJc w:val="left"/>
      <w:pPr>
        <w:ind w:left="6708" w:hanging="317"/>
      </w:pPr>
      <w:rPr>
        <w:rFonts w:hint="default"/>
        <w:lang w:val="tr-TR" w:eastAsia="tr-TR" w:bidi="tr-TR"/>
      </w:rPr>
    </w:lvl>
    <w:lvl w:ilvl="7">
      <w:start w:val="0"/>
      <w:numFmt w:val="bullet"/>
      <w:lvlText w:val="•"/>
      <w:lvlJc w:val="left"/>
      <w:pPr>
        <w:ind w:left="7706" w:hanging="317"/>
      </w:pPr>
      <w:rPr>
        <w:rFonts w:hint="default"/>
        <w:lang w:val="tr-TR" w:eastAsia="tr-TR" w:bidi="tr-TR"/>
      </w:rPr>
    </w:lvl>
    <w:lvl w:ilvl="8">
      <w:start w:val="0"/>
      <w:numFmt w:val="bullet"/>
      <w:lvlText w:val="•"/>
      <w:lvlJc w:val="left"/>
      <w:pPr>
        <w:ind w:left="8704" w:hanging="317"/>
      </w:pPr>
      <w:rPr>
        <w:rFonts w:hint="default"/>
        <w:lang w:val="tr-TR" w:eastAsia="tr-TR" w:bidi="tr-TR"/>
      </w:rPr>
    </w:lvl>
  </w:abstractNum>
  <w:abstractNum w:abstractNumId="64">
    <w:multiLevelType w:val="hybridMultilevel"/>
    <w:lvl w:ilvl="0">
      <w:start w:val="1"/>
      <w:numFmt w:val="decimal"/>
      <w:lvlText w:val="%1."/>
      <w:lvlJc w:val="left"/>
      <w:pPr>
        <w:ind w:left="726" w:hanging="221"/>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21"/>
      </w:pPr>
      <w:rPr>
        <w:rFonts w:hint="default"/>
        <w:lang w:val="tr-TR" w:eastAsia="tr-TR" w:bidi="tr-TR"/>
      </w:rPr>
    </w:lvl>
    <w:lvl w:ilvl="2">
      <w:start w:val="0"/>
      <w:numFmt w:val="bullet"/>
      <w:lvlText w:val="•"/>
      <w:lvlJc w:val="left"/>
      <w:pPr>
        <w:ind w:left="2716" w:hanging="221"/>
      </w:pPr>
      <w:rPr>
        <w:rFonts w:hint="default"/>
        <w:lang w:val="tr-TR" w:eastAsia="tr-TR" w:bidi="tr-TR"/>
      </w:rPr>
    </w:lvl>
    <w:lvl w:ilvl="3">
      <w:start w:val="0"/>
      <w:numFmt w:val="bullet"/>
      <w:lvlText w:val="•"/>
      <w:lvlJc w:val="left"/>
      <w:pPr>
        <w:ind w:left="3714" w:hanging="221"/>
      </w:pPr>
      <w:rPr>
        <w:rFonts w:hint="default"/>
        <w:lang w:val="tr-TR" w:eastAsia="tr-TR" w:bidi="tr-TR"/>
      </w:rPr>
    </w:lvl>
    <w:lvl w:ilvl="4">
      <w:start w:val="0"/>
      <w:numFmt w:val="bullet"/>
      <w:lvlText w:val="•"/>
      <w:lvlJc w:val="left"/>
      <w:pPr>
        <w:ind w:left="4712" w:hanging="221"/>
      </w:pPr>
      <w:rPr>
        <w:rFonts w:hint="default"/>
        <w:lang w:val="tr-TR" w:eastAsia="tr-TR" w:bidi="tr-TR"/>
      </w:rPr>
    </w:lvl>
    <w:lvl w:ilvl="5">
      <w:start w:val="0"/>
      <w:numFmt w:val="bullet"/>
      <w:lvlText w:val="•"/>
      <w:lvlJc w:val="left"/>
      <w:pPr>
        <w:ind w:left="5710" w:hanging="221"/>
      </w:pPr>
      <w:rPr>
        <w:rFonts w:hint="default"/>
        <w:lang w:val="tr-TR" w:eastAsia="tr-TR" w:bidi="tr-TR"/>
      </w:rPr>
    </w:lvl>
    <w:lvl w:ilvl="6">
      <w:start w:val="0"/>
      <w:numFmt w:val="bullet"/>
      <w:lvlText w:val="•"/>
      <w:lvlJc w:val="left"/>
      <w:pPr>
        <w:ind w:left="6708" w:hanging="221"/>
      </w:pPr>
      <w:rPr>
        <w:rFonts w:hint="default"/>
        <w:lang w:val="tr-TR" w:eastAsia="tr-TR" w:bidi="tr-TR"/>
      </w:rPr>
    </w:lvl>
    <w:lvl w:ilvl="7">
      <w:start w:val="0"/>
      <w:numFmt w:val="bullet"/>
      <w:lvlText w:val="•"/>
      <w:lvlJc w:val="left"/>
      <w:pPr>
        <w:ind w:left="7706" w:hanging="221"/>
      </w:pPr>
      <w:rPr>
        <w:rFonts w:hint="default"/>
        <w:lang w:val="tr-TR" w:eastAsia="tr-TR" w:bidi="tr-TR"/>
      </w:rPr>
    </w:lvl>
    <w:lvl w:ilvl="8">
      <w:start w:val="0"/>
      <w:numFmt w:val="bullet"/>
      <w:lvlText w:val="•"/>
      <w:lvlJc w:val="left"/>
      <w:pPr>
        <w:ind w:left="8704" w:hanging="221"/>
      </w:pPr>
      <w:rPr>
        <w:rFonts w:hint="default"/>
        <w:lang w:val="tr-TR" w:eastAsia="tr-TR" w:bidi="tr-TR"/>
      </w:rPr>
    </w:lvl>
  </w:abstractNum>
  <w:abstractNum w:abstractNumId="63">
    <w:multiLevelType w:val="hybridMultilevel"/>
    <w:lvl w:ilvl="0">
      <w:start w:val="1"/>
      <w:numFmt w:val="lowerLetter"/>
      <w:lvlText w:val="(%1)"/>
      <w:lvlJc w:val="left"/>
      <w:pPr>
        <w:ind w:left="1022" w:hanging="31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10"/>
      </w:pPr>
      <w:rPr>
        <w:rFonts w:hint="default"/>
        <w:lang w:val="tr-TR" w:eastAsia="tr-TR" w:bidi="tr-TR"/>
      </w:rPr>
    </w:lvl>
    <w:lvl w:ilvl="2">
      <w:start w:val="0"/>
      <w:numFmt w:val="bullet"/>
      <w:lvlText w:val="•"/>
      <w:lvlJc w:val="left"/>
      <w:pPr>
        <w:ind w:left="2956" w:hanging="310"/>
      </w:pPr>
      <w:rPr>
        <w:rFonts w:hint="default"/>
        <w:lang w:val="tr-TR" w:eastAsia="tr-TR" w:bidi="tr-TR"/>
      </w:rPr>
    </w:lvl>
    <w:lvl w:ilvl="3">
      <w:start w:val="0"/>
      <w:numFmt w:val="bullet"/>
      <w:lvlText w:val="•"/>
      <w:lvlJc w:val="left"/>
      <w:pPr>
        <w:ind w:left="3924" w:hanging="310"/>
      </w:pPr>
      <w:rPr>
        <w:rFonts w:hint="default"/>
        <w:lang w:val="tr-TR" w:eastAsia="tr-TR" w:bidi="tr-TR"/>
      </w:rPr>
    </w:lvl>
    <w:lvl w:ilvl="4">
      <w:start w:val="0"/>
      <w:numFmt w:val="bullet"/>
      <w:lvlText w:val="•"/>
      <w:lvlJc w:val="left"/>
      <w:pPr>
        <w:ind w:left="4892" w:hanging="310"/>
      </w:pPr>
      <w:rPr>
        <w:rFonts w:hint="default"/>
        <w:lang w:val="tr-TR" w:eastAsia="tr-TR" w:bidi="tr-TR"/>
      </w:rPr>
    </w:lvl>
    <w:lvl w:ilvl="5">
      <w:start w:val="0"/>
      <w:numFmt w:val="bullet"/>
      <w:lvlText w:val="•"/>
      <w:lvlJc w:val="left"/>
      <w:pPr>
        <w:ind w:left="5860" w:hanging="310"/>
      </w:pPr>
      <w:rPr>
        <w:rFonts w:hint="default"/>
        <w:lang w:val="tr-TR" w:eastAsia="tr-TR" w:bidi="tr-TR"/>
      </w:rPr>
    </w:lvl>
    <w:lvl w:ilvl="6">
      <w:start w:val="0"/>
      <w:numFmt w:val="bullet"/>
      <w:lvlText w:val="•"/>
      <w:lvlJc w:val="left"/>
      <w:pPr>
        <w:ind w:left="6828" w:hanging="310"/>
      </w:pPr>
      <w:rPr>
        <w:rFonts w:hint="default"/>
        <w:lang w:val="tr-TR" w:eastAsia="tr-TR" w:bidi="tr-TR"/>
      </w:rPr>
    </w:lvl>
    <w:lvl w:ilvl="7">
      <w:start w:val="0"/>
      <w:numFmt w:val="bullet"/>
      <w:lvlText w:val="•"/>
      <w:lvlJc w:val="left"/>
      <w:pPr>
        <w:ind w:left="7796" w:hanging="310"/>
      </w:pPr>
      <w:rPr>
        <w:rFonts w:hint="default"/>
        <w:lang w:val="tr-TR" w:eastAsia="tr-TR" w:bidi="tr-TR"/>
      </w:rPr>
    </w:lvl>
    <w:lvl w:ilvl="8">
      <w:start w:val="0"/>
      <w:numFmt w:val="bullet"/>
      <w:lvlText w:val="•"/>
      <w:lvlJc w:val="left"/>
      <w:pPr>
        <w:ind w:left="8764" w:hanging="310"/>
      </w:pPr>
      <w:rPr>
        <w:rFonts w:hint="default"/>
        <w:lang w:val="tr-TR" w:eastAsia="tr-TR" w:bidi="tr-TR"/>
      </w:rPr>
    </w:lvl>
  </w:abstractNum>
  <w:abstractNum w:abstractNumId="62">
    <w:multiLevelType w:val="hybridMultilevel"/>
    <w:lvl w:ilvl="0">
      <w:start w:val="1"/>
      <w:numFmt w:val="decimal"/>
      <w:lvlText w:val="%1."/>
      <w:lvlJc w:val="left"/>
      <w:pPr>
        <w:ind w:left="726" w:hanging="24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43"/>
      </w:pPr>
      <w:rPr>
        <w:rFonts w:hint="default"/>
        <w:lang w:val="tr-TR" w:eastAsia="tr-TR" w:bidi="tr-TR"/>
      </w:rPr>
    </w:lvl>
    <w:lvl w:ilvl="2">
      <w:start w:val="0"/>
      <w:numFmt w:val="bullet"/>
      <w:lvlText w:val="•"/>
      <w:lvlJc w:val="left"/>
      <w:pPr>
        <w:ind w:left="2716" w:hanging="243"/>
      </w:pPr>
      <w:rPr>
        <w:rFonts w:hint="default"/>
        <w:lang w:val="tr-TR" w:eastAsia="tr-TR" w:bidi="tr-TR"/>
      </w:rPr>
    </w:lvl>
    <w:lvl w:ilvl="3">
      <w:start w:val="0"/>
      <w:numFmt w:val="bullet"/>
      <w:lvlText w:val="•"/>
      <w:lvlJc w:val="left"/>
      <w:pPr>
        <w:ind w:left="3714" w:hanging="243"/>
      </w:pPr>
      <w:rPr>
        <w:rFonts w:hint="default"/>
        <w:lang w:val="tr-TR" w:eastAsia="tr-TR" w:bidi="tr-TR"/>
      </w:rPr>
    </w:lvl>
    <w:lvl w:ilvl="4">
      <w:start w:val="0"/>
      <w:numFmt w:val="bullet"/>
      <w:lvlText w:val="•"/>
      <w:lvlJc w:val="left"/>
      <w:pPr>
        <w:ind w:left="4712" w:hanging="243"/>
      </w:pPr>
      <w:rPr>
        <w:rFonts w:hint="default"/>
        <w:lang w:val="tr-TR" w:eastAsia="tr-TR" w:bidi="tr-TR"/>
      </w:rPr>
    </w:lvl>
    <w:lvl w:ilvl="5">
      <w:start w:val="0"/>
      <w:numFmt w:val="bullet"/>
      <w:lvlText w:val="•"/>
      <w:lvlJc w:val="left"/>
      <w:pPr>
        <w:ind w:left="5710" w:hanging="243"/>
      </w:pPr>
      <w:rPr>
        <w:rFonts w:hint="default"/>
        <w:lang w:val="tr-TR" w:eastAsia="tr-TR" w:bidi="tr-TR"/>
      </w:rPr>
    </w:lvl>
    <w:lvl w:ilvl="6">
      <w:start w:val="0"/>
      <w:numFmt w:val="bullet"/>
      <w:lvlText w:val="•"/>
      <w:lvlJc w:val="left"/>
      <w:pPr>
        <w:ind w:left="6708" w:hanging="243"/>
      </w:pPr>
      <w:rPr>
        <w:rFonts w:hint="default"/>
        <w:lang w:val="tr-TR" w:eastAsia="tr-TR" w:bidi="tr-TR"/>
      </w:rPr>
    </w:lvl>
    <w:lvl w:ilvl="7">
      <w:start w:val="0"/>
      <w:numFmt w:val="bullet"/>
      <w:lvlText w:val="•"/>
      <w:lvlJc w:val="left"/>
      <w:pPr>
        <w:ind w:left="7706" w:hanging="243"/>
      </w:pPr>
      <w:rPr>
        <w:rFonts w:hint="default"/>
        <w:lang w:val="tr-TR" w:eastAsia="tr-TR" w:bidi="tr-TR"/>
      </w:rPr>
    </w:lvl>
    <w:lvl w:ilvl="8">
      <w:start w:val="0"/>
      <w:numFmt w:val="bullet"/>
      <w:lvlText w:val="•"/>
      <w:lvlJc w:val="left"/>
      <w:pPr>
        <w:ind w:left="8704" w:hanging="243"/>
      </w:pPr>
      <w:rPr>
        <w:rFonts w:hint="default"/>
        <w:lang w:val="tr-TR" w:eastAsia="tr-TR" w:bidi="tr-TR"/>
      </w:rPr>
    </w:lvl>
  </w:abstractNum>
  <w:abstractNum w:abstractNumId="61">
    <w:multiLevelType w:val="hybridMultilevel"/>
    <w:lvl w:ilvl="0">
      <w:start w:val="1"/>
      <w:numFmt w:val="lowerLetter"/>
      <w:lvlText w:val="(%1)"/>
      <w:lvlJc w:val="left"/>
      <w:pPr>
        <w:ind w:left="726" w:hanging="360"/>
        <w:jc w:val="left"/>
      </w:pPr>
      <w:rPr>
        <w:rFonts w:hint="default" w:ascii="Arial" w:hAnsi="Arial" w:eastAsia="Arial" w:cs="Arial"/>
        <w:w w:val="99"/>
        <w:sz w:val="20"/>
        <w:szCs w:val="20"/>
        <w:lang w:val="tr-TR" w:eastAsia="tr-TR" w:bidi="tr-TR"/>
      </w:rPr>
    </w:lvl>
    <w:lvl w:ilvl="1">
      <w:start w:val="0"/>
      <w:numFmt w:val="bullet"/>
      <w:lvlText w:val="•"/>
      <w:lvlJc w:val="left"/>
      <w:pPr>
        <w:ind w:left="1718" w:hanging="360"/>
      </w:pPr>
      <w:rPr>
        <w:rFonts w:hint="default"/>
        <w:lang w:val="tr-TR" w:eastAsia="tr-TR" w:bidi="tr-TR"/>
      </w:rPr>
    </w:lvl>
    <w:lvl w:ilvl="2">
      <w:start w:val="0"/>
      <w:numFmt w:val="bullet"/>
      <w:lvlText w:val="•"/>
      <w:lvlJc w:val="left"/>
      <w:pPr>
        <w:ind w:left="2716" w:hanging="360"/>
      </w:pPr>
      <w:rPr>
        <w:rFonts w:hint="default"/>
        <w:lang w:val="tr-TR" w:eastAsia="tr-TR" w:bidi="tr-TR"/>
      </w:rPr>
    </w:lvl>
    <w:lvl w:ilvl="3">
      <w:start w:val="0"/>
      <w:numFmt w:val="bullet"/>
      <w:lvlText w:val="•"/>
      <w:lvlJc w:val="left"/>
      <w:pPr>
        <w:ind w:left="3714" w:hanging="360"/>
      </w:pPr>
      <w:rPr>
        <w:rFonts w:hint="default"/>
        <w:lang w:val="tr-TR" w:eastAsia="tr-TR" w:bidi="tr-TR"/>
      </w:rPr>
    </w:lvl>
    <w:lvl w:ilvl="4">
      <w:start w:val="0"/>
      <w:numFmt w:val="bullet"/>
      <w:lvlText w:val="•"/>
      <w:lvlJc w:val="left"/>
      <w:pPr>
        <w:ind w:left="4712" w:hanging="360"/>
      </w:pPr>
      <w:rPr>
        <w:rFonts w:hint="default"/>
        <w:lang w:val="tr-TR" w:eastAsia="tr-TR" w:bidi="tr-TR"/>
      </w:rPr>
    </w:lvl>
    <w:lvl w:ilvl="5">
      <w:start w:val="0"/>
      <w:numFmt w:val="bullet"/>
      <w:lvlText w:val="•"/>
      <w:lvlJc w:val="left"/>
      <w:pPr>
        <w:ind w:left="5710" w:hanging="360"/>
      </w:pPr>
      <w:rPr>
        <w:rFonts w:hint="default"/>
        <w:lang w:val="tr-TR" w:eastAsia="tr-TR" w:bidi="tr-TR"/>
      </w:rPr>
    </w:lvl>
    <w:lvl w:ilvl="6">
      <w:start w:val="0"/>
      <w:numFmt w:val="bullet"/>
      <w:lvlText w:val="•"/>
      <w:lvlJc w:val="left"/>
      <w:pPr>
        <w:ind w:left="6708" w:hanging="360"/>
      </w:pPr>
      <w:rPr>
        <w:rFonts w:hint="default"/>
        <w:lang w:val="tr-TR" w:eastAsia="tr-TR" w:bidi="tr-TR"/>
      </w:rPr>
    </w:lvl>
    <w:lvl w:ilvl="7">
      <w:start w:val="0"/>
      <w:numFmt w:val="bullet"/>
      <w:lvlText w:val="•"/>
      <w:lvlJc w:val="left"/>
      <w:pPr>
        <w:ind w:left="7706" w:hanging="360"/>
      </w:pPr>
      <w:rPr>
        <w:rFonts w:hint="default"/>
        <w:lang w:val="tr-TR" w:eastAsia="tr-TR" w:bidi="tr-TR"/>
      </w:rPr>
    </w:lvl>
    <w:lvl w:ilvl="8">
      <w:start w:val="0"/>
      <w:numFmt w:val="bullet"/>
      <w:lvlText w:val="•"/>
      <w:lvlJc w:val="left"/>
      <w:pPr>
        <w:ind w:left="8704" w:hanging="360"/>
      </w:pPr>
      <w:rPr>
        <w:rFonts w:hint="default"/>
        <w:lang w:val="tr-TR" w:eastAsia="tr-TR" w:bidi="tr-TR"/>
      </w:rPr>
    </w:lvl>
  </w:abstractNum>
  <w:abstractNum w:abstractNumId="60">
    <w:multiLevelType w:val="hybridMultilevel"/>
    <w:lvl w:ilvl="0">
      <w:start w:val="5"/>
      <w:numFmt w:val="decimal"/>
      <w:lvlText w:val="%1."/>
      <w:lvlJc w:val="left"/>
      <w:pPr>
        <w:ind w:left="726" w:hanging="255"/>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55"/>
      </w:pPr>
      <w:rPr>
        <w:rFonts w:hint="default"/>
        <w:lang w:val="tr-TR" w:eastAsia="tr-TR" w:bidi="tr-TR"/>
      </w:rPr>
    </w:lvl>
    <w:lvl w:ilvl="2">
      <w:start w:val="0"/>
      <w:numFmt w:val="bullet"/>
      <w:lvlText w:val="•"/>
      <w:lvlJc w:val="left"/>
      <w:pPr>
        <w:ind w:left="2716" w:hanging="255"/>
      </w:pPr>
      <w:rPr>
        <w:rFonts w:hint="default"/>
        <w:lang w:val="tr-TR" w:eastAsia="tr-TR" w:bidi="tr-TR"/>
      </w:rPr>
    </w:lvl>
    <w:lvl w:ilvl="3">
      <w:start w:val="0"/>
      <w:numFmt w:val="bullet"/>
      <w:lvlText w:val="•"/>
      <w:lvlJc w:val="left"/>
      <w:pPr>
        <w:ind w:left="3714" w:hanging="255"/>
      </w:pPr>
      <w:rPr>
        <w:rFonts w:hint="default"/>
        <w:lang w:val="tr-TR" w:eastAsia="tr-TR" w:bidi="tr-TR"/>
      </w:rPr>
    </w:lvl>
    <w:lvl w:ilvl="4">
      <w:start w:val="0"/>
      <w:numFmt w:val="bullet"/>
      <w:lvlText w:val="•"/>
      <w:lvlJc w:val="left"/>
      <w:pPr>
        <w:ind w:left="4712" w:hanging="255"/>
      </w:pPr>
      <w:rPr>
        <w:rFonts w:hint="default"/>
        <w:lang w:val="tr-TR" w:eastAsia="tr-TR" w:bidi="tr-TR"/>
      </w:rPr>
    </w:lvl>
    <w:lvl w:ilvl="5">
      <w:start w:val="0"/>
      <w:numFmt w:val="bullet"/>
      <w:lvlText w:val="•"/>
      <w:lvlJc w:val="left"/>
      <w:pPr>
        <w:ind w:left="5710" w:hanging="255"/>
      </w:pPr>
      <w:rPr>
        <w:rFonts w:hint="default"/>
        <w:lang w:val="tr-TR" w:eastAsia="tr-TR" w:bidi="tr-TR"/>
      </w:rPr>
    </w:lvl>
    <w:lvl w:ilvl="6">
      <w:start w:val="0"/>
      <w:numFmt w:val="bullet"/>
      <w:lvlText w:val="•"/>
      <w:lvlJc w:val="left"/>
      <w:pPr>
        <w:ind w:left="6708" w:hanging="255"/>
      </w:pPr>
      <w:rPr>
        <w:rFonts w:hint="default"/>
        <w:lang w:val="tr-TR" w:eastAsia="tr-TR" w:bidi="tr-TR"/>
      </w:rPr>
    </w:lvl>
    <w:lvl w:ilvl="7">
      <w:start w:val="0"/>
      <w:numFmt w:val="bullet"/>
      <w:lvlText w:val="•"/>
      <w:lvlJc w:val="left"/>
      <w:pPr>
        <w:ind w:left="7706" w:hanging="255"/>
      </w:pPr>
      <w:rPr>
        <w:rFonts w:hint="default"/>
        <w:lang w:val="tr-TR" w:eastAsia="tr-TR" w:bidi="tr-TR"/>
      </w:rPr>
    </w:lvl>
    <w:lvl w:ilvl="8">
      <w:start w:val="0"/>
      <w:numFmt w:val="bullet"/>
      <w:lvlText w:val="•"/>
      <w:lvlJc w:val="left"/>
      <w:pPr>
        <w:ind w:left="8704" w:hanging="255"/>
      </w:pPr>
      <w:rPr>
        <w:rFonts w:hint="default"/>
        <w:lang w:val="tr-TR" w:eastAsia="tr-TR" w:bidi="tr-TR"/>
      </w:rPr>
    </w:lvl>
  </w:abstractNum>
  <w:abstractNum w:abstractNumId="59">
    <w:multiLevelType w:val="hybridMultilevel"/>
    <w:lvl w:ilvl="0">
      <w:start w:val="1"/>
      <w:numFmt w:val="lowerLetter"/>
      <w:lvlText w:val="(%1)"/>
      <w:lvlJc w:val="left"/>
      <w:pPr>
        <w:ind w:left="1022" w:hanging="365"/>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65"/>
      </w:pPr>
      <w:rPr>
        <w:rFonts w:hint="default"/>
        <w:lang w:val="tr-TR" w:eastAsia="tr-TR" w:bidi="tr-TR"/>
      </w:rPr>
    </w:lvl>
    <w:lvl w:ilvl="2">
      <w:start w:val="0"/>
      <w:numFmt w:val="bullet"/>
      <w:lvlText w:val="•"/>
      <w:lvlJc w:val="left"/>
      <w:pPr>
        <w:ind w:left="2956" w:hanging="365"/>
      </w:pPr>
      <w:rPr>
        <w:rFonts w:hint="default"/>
        <w:lang w:val="tr-TR" w:eastAsia="tr-TR" w:bidi="tr-TR"/>
      </w:rPr>
    </w:lvl>
    <w:lvl w:ilvl="3">
      <w:start w:val="0"/>
      <w:numFmt w:val="bullet"/>
      <w:lvlText w:val="•"/>
      <w:lvlJc w:val="left"/>
      <w:pPr>
        <w:ind w:left="3924" w:hanging="365"/>
      </w:pPr>
      <w:rPr>
        <w:rFonts w:hint="default"/>
        <w:lang w:val="tr-TR" w:eastAsia="tr-TR" w:bidi="tr-TR"/>
      </w:rPr>
    </w:lvl>
    <w:lvl w:ilvl="4">
      <w:start w:val="0"/>
      <w:numFmt w:val="bullet"/>
      <w:lvlText w:val="•"/>
      <w:lvlJc w:val="left"/>
      <w:pPr>
        <w:ind w:left="4892" w:hanging="365"/>
      </w:pPr>
      <w:rPr>
        <w:rFonts w:hint="default"/>
        <w:lang w:val="tr-TR" w:eastAsia="tr-TR" w:bidi="tr-TR"/>
      </w:rPr>
    </w:lvl>
    <w:lvl w:ilvl="5">
      <w:start w:val="0"/>
      <w:numFmt w:val="bullet"/>
      <w:lvlText w:val="•"/>
      <w:lvlJc w:val="left"/>
      <w:pPr>
        <w:ind w:left="5860" w:hanging="365"/>
      </w:pPr>
      <w:rPr>
        <w:rFonts w:hint="default"/>
        <w:lang w:val="tr-TR" w:eastAsia="tr-TR" w:bidi="tr-TR"/>
      </w:rPr>
    </w:lvl>
    <w:lvl w:ilvl="6">
      <w:start w:val="0"/>
      <w:numFmt w:val="bullet"/>
      <w:lvlText w:val="•"/>
      <w:lvlJc w:val="left"/>
      <w:pPr>
        <w:ind w:left="6828" w:hanging="365"/>
      </w:pPr>
      <w:rPr>
        <w:rFonts w:hint="default"/>
        <w:lang w:val="tr-TR" w:eastAsia="tr-TR" w:bidi="tr-TR"/>
      </w:rPr>
    </w:lvl>
    <w:lvl w:ilvl="7">
      <w:start w:val="0"/>
      <w:numFmt w:val="bullet"/>
      <w:lvlText w:val="•"/>
      <w:lvlJc w:val="left"/>
      <w:pPr>
        <w:ind w:left="7796" w:hanging="365"/>
      </w:pPr>
      <w:rPr>
        <w:rFonts w:hint="default"/>
        <w:lang w:val="tr-TR" w:eastAsia="tr-TR" w:bidi="tr-TR"/>
      </w:rPr>
    </w:lvl>
    <w:lvl w:ilvl="8">
      <w:start w:val="0"/>
      <w:numFmt w:val="bullet"/>
      <w:lvlText w:val="•"/>
      <w:lvlJc w:val="left"/>
      <w:pPr>
        <w:ind w:left="8764" w:hanging="365"/>
      </w:pPr>
      <w:rPr>
        <w:rFonts w:hint="default"/>
        <w:lang w:val="tr-TR" w:eastAsia="tr-TR" w:bidi="tr-TR"/>
      </w:rPr>
    </w:lvl>
  </w:abstractNum>
  <w:abstractNum w:abstractNumId="58">
    <w:multiLevelType w:val="hybridMultilevel"/>
    <w:lvl w:ilvl="0">
      <w:start w:val="1"/>
      <w:numFmt w:val="decimal"/>
      <w:lvlText w:val="%1."/>
      <w:lvlJc w:val="left"/>
      <w:pPr>
        <w:ind w:left="726" w:hanging="226"/>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26"/>
      </w:pPr>
      <w:rPr>
        <w:rFonts w:hint="default"/>
        <w:lang w:val="tr-TR" w:eastAsia="tr-TR" w:bidi="tr-TR"/>
      </w:rPr>
    </w:lvl>
    <w:lvl w:ilvl="2">
      <w:start w:val="0"/>
      <w:numFmt w:val="bullet"/>
      <w:lvlText w:val="•"/>
      <w:lvlJc w:val="left"/>
      <w:pPr>
        <w:ind w:left="2716" w:hanging="226"/>
      </w:pPr>
      <w:rPr>
        <w:rFonts w:hint="default"/>
        <w:lang w:val="tr-TR" w:eastAsia="tr-TR" w:bidi="tr-TR"/>
      </w:rPr>
    </w:lvl>
    <w:lvl w:ilvl="3">
      <w:start w:val="0"/>
      <w:numFmt w:val="bullet"/>
      <w:lvlText w:val="•"/>
      <w:lvlJc w:val="left"/>
      <w:pPr>
        <w:ind w:left="3714" w:hanging="226"/>
      </w:pPr>
      <w:rPr>
        <w:rFonts w:hint="default"/>
        <w:lang w:val="tr-TR" w:eastAsia="tr-TR" w:bidi="tr-TR"/>
      </w:rPr>
    </w:lvl>
    <w:lvl w:ilvl="4">
      <w:start w:val="0"/>
      <w:numFmt w:val="bullet"/>
      <w:lvlText w:val="•"/>
      <w:lvlJc w:val="left"/>
      <w:pPr>
        <w:ind w:left="4712" w:hanging="226"/>
      </w:pPr>
      <w:rPr>
        <w:rFonts w:hint="default"/>
        <w:lang w:val="tr-TR" w:eastAsia="tr-TR" w:bidi="tr-TR"/>
      </w:rPr>
    </w:lvl>
    <w:lvl w:ilvl="5">
      <w:start w:val="0"/>
      <w:numFmt w:val="bullet"/>
      <w:lvlText w:val="•"/>
      <w:lvlJc w:val="left"/>
      <w:pPr>
        <w:ind w:left="5710" w:hanging="226"/>
      </w:pPr>
      <w:rPr>
        <w:rFonts w:hint="default"/>
        <w:lang w:val="tr-TR" w:eastAsia="tr-TR" w:bidi="tr-TR"/>
      </w:rPr>
    </w:lvl>
    <w:lvl w:ilvl="6">
      <w:start w:val="0"/>
      <w:numFmt w:val="bullet"/>
      <w:lvlText w:val="•"/>
      <w:lvlJc w:val="left"/>
      <w:pPr>
        <w:ind w:left="6708" w:hanging="226"/>
      </w:pPr>
      <w:rPr>
        <w:rFonts w:hint="default"/>
        <w:lang w:val="tr-TR" w:eastAsia="tr-TR" w:bidi="tr-TR"/>
      </w:rPr>
    </w:lvl>
    <w:lvl w:ilvl="7">
      <w:start w:val="0"/>
      <w:numFmt w:val="bullet"/>
      <w:lvlText w:val="•"/>
      <w:lvlJc w:val="left"/>
      <w:pPr>
        <w:ind w:left="7706" w:hanging="226"/>
      </w:pPr>
      <w:rPr>
        <w:rFonts w:hint="default"/>
        <w:lang w:val="tr-TR" w:eastAsia="tr-TR" w:bidi="tr-TR"/>
      </w:rPr>
    </w:lvl>
    <w:lvl w:ilvl="8">
      <w:start w:val="0"/>
      <w:numFmt w:val="bullet"/>
      <w:lvlText w:val="•"/>
      <w:lvlJc w:val="left"/>
      <w:pPr>
        <w:ind w:left="8704" w:hanging="226"/>
      </w:pPr>
      <w:rPr>
        <w:rFonts w:hint="default"/>
        <w:lang w:val="tr-TR" w:eastAsia="tr-TR" w:bidi="tr-TR"/>
      </w:rPr>
    </w:lvl>
  </w:abstractNum>
  <w:abstractNum w:abstractNumId="57">
    <w:multiLevelType w:val="hybridMultilevel"/>
    <w:lvl w:ilvl="0">
      <w:start w:val="1"/>
      <w:numFmt w:val="lowerLetter"/>
      <w:lvlText w:val="(%1)"/>
      <w:lvlJc w:val="left"/>
      <w:pPr>
        <w:ind w:left="1022" w:hanging="324"/>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24"/>
      </w:pPr>
      <w:rPr>
        <w:rFonts w:hint="default"/>
        <w:lang w:val="tr-TR" w:eastAsia="tr-TR" w:bidi="tr-TR"/>
      </w:rPr>
    </w:lvl>
    <w:lvl w:ilvl="2">
      <w:start w:val="0"/>
      <w:numFmt w:val="bullet"/>
      <w:lvlText w:val="•"/>
      <w:lvlJc w:val="left"/>
      <w:pPr>
        <w:ind w:left="2956" w:hanging="324"/>
      </w:pPr>
      <w:rPr>
        <w:rFonts w:hint="default"/>
        <w:lang w:val="tr-TR" w:eastAsia="tr-TR" w:bidi="tr-TR"/>
      </w:rPr>
    </w:lvl>
    <w:lvl w:ilvl="3">
      <w:start w:val="0"/>
      <w:numFmt w:val="bullet"/>
      <w:lvlText w:val="•"/>
      <w:lvlJc w:val="left"/>
      <w:pPr>
        <w:ind w:left="3924" w:hanging="324"/>
      </w:pPr>
      <w:rPr>
        <w:rFonts w:hint="default"/>
        <w:lang w:val="tr-TR" w:eastAsia="tr-TR" w:bidi="tr-TR"/>
      </w:rPr>
    </w:lvl>
    <w:lvl w:ilvl="4">
      <w:start w:val="0"/>
      <w:numFmt w:val="bullet"/>
      <w:lvlText w:val="•"/>
      <w:lvlJc w:val="left"/>
      <w:pPr>
        <w:ind w:left="4892" w:hanging="324"/>
      </w:pPr>
      <w:rPr>
        <w:rFonts w:hint="default"/>
        <w:lang w:val="tr-TR" w:eastAsia="tr-TR" w:bidi="tr-TR"/>
      </w:rPr>
    </w:lvl>
    <w:lvl w:ilvl="5">
      <w:start w:val="0"/>
      <w:numFmt w:val="bullet"/>
      <w:lvlText w:val="•"/>
      <w:lvlJc w:val="left"/>
      <w:pPr>
        <w:ind w:left="5860" w:hanging="324"/>
      </w:pPr>
      <w:rPr>
        <w:rFonts w:hint="default"/>
        <w:lang w:val="tr-TR" w:eastAsia="tr-TR" w:bidi="tr-TR"/>
      </w:rPr>
    </w:lvl>
    <w:lvl w:ilvl="6">
      <w:start w:val="0"/>
      <w:numFmt w:val="bullet"/>
      <w:lvlText w:val="•"/>
      <w:lvlJc w:val="left"/>
      <w:pPr>
        <w:ind w:left="6828" w:hanging="324"/>
      </w:pPr>
      <w:rPr>
        <w:rFonts w:hint="default"/>
        <w:lang w:val="tr-TR" w:eastAsia="tr-TR" w:bidi="tr-TR"/>
      </w:rPr>
    </w:lvl>
    <w:lvl w:ilvl="7">
      <w:start w:val="0"/>
      <w:numFmt w:val="bullet"/>
      <w:lvlText w:val="•"/>
      <w:lvlJc w:val="left"/>
      <w:pPr>
        <w:ind w:left="7796" w:hanging="324"/>
      </w:pPr>
      <w:rPr>
        <w:rFonts w:hint="default"/>
        <w:lang w:val="tr-TR" w:eastAsia="tr-TR" w:bidi="tr-TR"/>
      </w:rPr>
    </w:lvl>
    <w:lvl w:ilvl="8">
      <w:start w:val="0"/>
      <w:numFmt w:val="bullet"/>
      <w:lvlText w:val="•"/>
      <w:lvlJc w:val="left"/>
      <w:pPr>
        <w:ind w:left="8764" w:hanging="324"/>
      </w:pPr>
      <w:rPr>
        <w:rFonts w:hint="default"/>
        <w:lang w:val="tr-TR" w:eastAsia="tr-TR" w:bidi="tr-TR"/>
      </w:rPr>
    </w:lvl>
  </w:abstractNum>
  <w:abstractNum w:abstractNumId="56">
    <w:multiLevelType w:val="hybridMultilevel"/>
    <w:lvl w:ilvl="0">
      <w:start w:val="1"/>
      <w:numFmt w:val="decimal"/>
      <w:lvlText w:val="%1."/>
      <w:lvlJc w:val="left"/>
      <w:pPr>
        <w:ind w:left="726" w:hanging="41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413"/>
      </w:pPr>
      <w:rPr>
        <w:rFonts w:hint="default"/>
        <w:lang w:val="tr-TR" w:eastAsia="tr-TR" w:bidi="tr-TR"/>
      </w:rPr>
    </w:lvl>
    <w:lvl w:ilvl="2">
      <w:start w:val="0"/>
      <w:numFmt w:val="bullet"/>
      <w:lvlText w:val="•"/>
      <w:lvlJc w:val="left"/>
      <w:pPr>
        <w:ind w:left="2716" w:hanging="413"/>
      </w:pPr>
      <w:rPr>
        <w:rFonts w:hint="default"/>
        <w:lang w:val="tr-TR" w:eastAsia="tr-TR" w:bidi="tr-TR"/>
      </w:rPr>
    </w:lvl>
    <w:lvl w:ilvl="3">
      <w:start w:val="0"/>
      <w:numFmt w:val="bullet"/>
      <w:lvlText w:val="•"/>
      <w:lvlJc w:val="left"/>
      <w:pPr>
        <w:ind w:left="3714" w:hanging="413"/>
      </w:pPr>
      <w:rPr>
        <w:rFonts w:hint="default"/>
        <w:lang w:val="tr-TR" w:eastAsia="tr-TR" w:bidi="tr-TR"/>
      </w:rPr>
    </w:lvl>
    <w:lvl w:ilvl="4">
      <w:start w:val="0"/>
      <w:numFmt w:val="bullet"/>
      <w:lvlText w:val="•"/>
      <w:lvlJc w:val="left"/>
      <w:pPr>
        <w:ind w:left="4712" w:hanging="413"/>
      </w:pPr>
      <w:rPr>
        <w:rFonts w:hint="default"/>
        <w:lang w:val="tr-TR" w:eastAsia="tr-TR" w:bidi="tr-TR"/>
      </w:rPr>
    </w:lvl>
    <w:lvl w:ilvl="5">
      <w:start w:val="0"/>
      <w:numFmt w:val="bullet"/>
      <w:lvlText w:val="•"/>
      <w:lvlJc w:val="left"/>
      <w:pPr>
        <w:ind w:left="5710" w:hanging="413"/>
      </w:pPr>
      <w:rPr>
        <w:rFonts w:hint="default"/>
        <w:lang w:val="tr-TR" w:eastAsia="tr-TR" w:bidi="tr-TR"/>
      </w:rPr>
    </w:lvl>
    <w:lvl w:ilvl="6">
      <w:start w:val="0"/>
      <w:numFmt w:val="bullet"/>
      <w:lvlText w:val="•"/>
      <w:lvlJc w:val="left"/>
      <w:pPr>
        <w:ind w:left="6708" w:hanging="413"/>
      </w:pPr>
      <w:rPr>
        <w:rFonts w:hint="default"/>
        <w:lang w:val="tr-TR" w:eastAsia="tr-TR" w:bidi="tr-TR"/>
      </w:rPr>
    </w:lvl>
    <w:lvl w:ilvl="7">
      <w:start w:val="0"/>
      <w:numFmt w:val="bullet"/>
      <w:lvlText w:val="•"/>
      <w:lvlJc w:val="left"/>
      <w:pPr>
        <w:ind w:left="7706" w:hanging="413"/>
      </w:pPr>
      <w:rPr>
        <w:rFonts w:hint="default"/>
        <w:lang w:val="tr-TR" w:eastAsia="tr-TR" w:bidi="tr-TR"/>
      </w:rPr>
    </w:lvl>
    <w:lvl w:ilvl="8">
      <w:start w:val="0"/>
      <w:numFmt w:val="bullet"/>
      <w:lvlText w:val="•"/>
      <w:lvlJc w:val="left"/>
      <w:pPr>
        <w:ind w:left="8704" w:hanging="413"/>
      </w:pPr>
      <w:rPr>
        <w:rFonts w:hint="default"/>
        <w:lang w:val="tr-TR" w:eastAsia="tr-TR" w:bidi="tr-TR"/>
      </w:rPr>
    </w:lvl>
  </w:abstractNum>
  <w:abstractNum w:abstractNumId="55">
    <w:multiLevelType w:val="hybridMultilevel"/>
    <w:lvl w:ilvl="0">
      <w:start w:val="1"/>
      <w:numFmt w:val="lowerLetter"/>
      <w:lvlText w:val="(%1)"/>
      <w:lvlJc w:val="left"/>
      <w:pPr>
        <w:ind w:left="1022"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54">
    <w:multiLevelType w:val="hybridMultilevel"/>
    <w:lvl w:ilvl="0">
      <w:start w:val="1"/>
      <w:numFmt w:val="decimal"/>
      <w:lvlText w:val="%1."/>
      <w:lvlJc w:val="left"/>
      <w:pPr>
        <w:ind w:left="726" w:hanging="257"/>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57"/>
      </w:pPr>
      <w:rPr>
        <w:rFonts w:hint="default"/>
        <w:lang w:val="tr-TR" w:eastAsia="tr-TR" w:bidi="tr-TR"/>
      </w:rPr>
    </w:lvl>
    <w:lvl w:ilvl="2">
      <w:start w:val="0"/>
      <w:numFmt w:val="bullet"/>
      <w:lvlText w:val="•"/>
      <w:lvlJc w:val="left"/>
      <w:pPr>
        <w:ind w:left="2716" w:hanging="257"/>
      </w:pPr>
      <w:rPr>
        <w:rFonts w:hint="default"/>
        <w:lang w:val="tr-TR" w:eastAsia="tr-TR" w:bidi="tr-TR"/>
      </w:rPr>
    </w:lvl>
    <w:lvl w:ilvl="3">
      <w:start w:val="0"/>
      <w:numFmt w:val="bullet"/>
      <w:lvlText w:val="•"/>
      <w:lvlJc w:val="left"/>
      <w:pPr>
        <w:ind w:left="3714" w:hanging="257"/>
      </w:pPr>
      <w:rPr>
        <w:rFonts w:hint="default"/>
        <w:lang w:val="tr-TR" w:eastAsia="tr-TR" w:bidi="tr-TR"/>
      </w:rPr>
    </w:lvl>
    <w:lvl w:ilvl="4">
      <w:start w:val="0"/>
      <w:numFmt w:val="bullet"/>
      <w:lvlText w:val="•"/>
      <w:lvlJc w:val="left"/>
      <w:pPr>
        <w:ind w:left="4712" w:hanging="257"/>
      </w:pPr>
      <w:rPr>
        <w:rFonts w:hint="default"/>
        <w:lang w:val="tr-TR" w:eastAsia="tr-TR" w:bidi="tr-TR"/>
      </w:rPr>
    </w:lvl>
    <w:lvl w:ilvl="5">
      <w:start w:val="0"/>
      <w:numFmt w:val="bullet"/>
      <w:lvlText w:val="•"/>
      <w:lvlJc w:val="left"/>
      <w:pPr>
        <w:ind w:left="5710" w:hanging="257"/>
      </w:pPr>
      <w:rPr>
        <w:rFonts w:hint="default"/>
        <w:lang w:val="tr-TR" w:eastAsia="tr-TR" w:bidi="tr-TR"/>
      </w:rPr>
    </w:lvl>
    <w:lvl w:ilvl="6">
      <w:start w:val="0"/>
      <w:numFmt w:val="bullet"/>
      <w:lvlText w:val="•"/>
      <w:lvlJc w:val="left"/>
      <w:pPr>
        <w:ind w:left="6708" w:hanging="257"/>
      </w:pPr>
      <w:rPr>
        <w:rFonts w:hint="default"/>
        <w:lang w:val="tr-TR" w:eastAsia="tr-TR" w:bidi="tr-TR"/>
      </w:rPr>
    </w:lvl>
    <w:lvl w:ilvl="7">
      <w:start w:val="0"/>
      <w:numFmt w:val="bullet"/>
      <w:lvlText w:val="•"/>
      <w:lvlJc w:val="left"/>
      <w:pPr>
        <w:ind w:left="7706" w:hanging="257"/>
      </w:pPr>
      <w:rPr>
        <w:rFonts w:hint="default"/>
        <w:lang w:val="tr-TR" w:eastAsia="tr-TR" w:bidi="tr-TR"/>
      </w:rPr>
    </w:lvl>
    <w:lvl w:ilvl="8">
      <w:start w:val="0"/>
      <w:numFmt w:val="bullet"/>
      <w:lvlText w:val="•"/>
      <w:lvlJc w:val="left"/>
      <w:pPr>
        <w:ind w:left="8704" w:hanging="257"/>
      </w:pPr>
      <w:rPr>
        <w:rFonts w:hint="default"/>
        <w:lang w:val="tr-TR" w:eastAsia="tr-TR" w:bidi="tr-TR"/>
      </w:rPr>
    </w:lvl>
  </w:abstractNum>
  <w:abstractNum w:abstractNumId="53">
    <w:multiLevelType w:val="hybridMultilevel"/>
    <w:lvl w:ilvl="0">
      <w:start w:val="1"/>
      <w:numFmt w:val="lowerLetter"/>
      <w:lvlText w:val="(%1)"/>
      <w:lvlJc w:val="left"/>
      <w:pPr>
        <w:ind w:left="1022"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52">
    <w:multiLevelType w:val="hybridMultilevel"/>
    <w:lvl w:ilvl="0">
      <w:start w:val="1"/>
      <w:numFmt w:val="decimal"/>
      <w:lvlText w:val="%1."/>
      <w:lvlJc w:val="left"/>
      <w:pPr>
        <w:ind w:left="726" w:hanging="269"/>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69"/>
      </w:pPr>
      <w:rPr>
        <w:rFonts w:hint="default"/>
        <w:lang w:val="tr-TR" w:eastAsia="tr-TR" w:bidi="tr-TR"/>
      </w:rPr>
    </w:lvl>
    <w:lvl w:ilvl="2">
      <w:start w:val="0"/>
      <w:numFmt w:val="bullet"/>
      <w:lvlText w:val="•"/>
      <w:lvlJc w:val="left"/>
      <w:pPr>
        <w:ind w:left="2716" w:hanging="269"/>
      </w:pPr>
      <w:rPr>
        <w:rFonts w:hint="default"/>
        <w:lang w:val="tr-TR" w:eastAsia="tr-TR" w:bidi="tr-TR"/>
      </w:rPr>
    </w:lvl>
    <w:lvl w:ilvl="3">
      <w:start w:val="0"/>
      <w:numFmt w:val="bullet"/>
      <w:lvlText w:val="•"/>
      <w:lvlJc w:val="left"/>
      <w:pPr>
        <w:ind w:left="3714" w:hanging="269"/>
      </w:pPr>
      <w:rPr>
        <w:rFonts w:hint="default"/>
        <w:lang w:val="tr-TR" w:eastAsia="tr-TR" w:bidi="tr-TR"/>
      </w:rPr>
    </w:lvl>
    <w:lvl w:ilvl="4">
      <w:start w:val="0"/>
      <w:numFmt w:val="bullet"/>
      <w:lvlText w:val="•"/>
      <w:lvlJc w:val="left"/>
      <w:pPr>
        <w:ind w:left="4712" w:hanging="269"/>
      </w:pPr>
      <w:rPr>
        <w:rFonts w:hint="default"/>
        <w:lang w:val="tr-TR" w:eastAsia="tr-TR" w:bidi="tr-TR"/>
      </w:rPr>
    </w:lvl>
    <w:lvl w:ilvl="5">
      <w:start w:val="0"/>
      <w:numFmt w:val="bullet"/>
      <w:lvlText w:val="•"/>
      <w:lvlJc w:val="left"/>
      <w:pPr>
        <w:ind w:left="5710" w:hanging="269"/>
      </w:pPr>
      <w:rPr>
        <w:rFonts w:hint="default"/>
        <w:lang w:val="tr-TR" w:eastAsia="tr-TR" w:bidi="tr-TR"/>
      </w:rPr>
    </w:lvl>
    <w:lvl w:ilvl="6">
      <w:start w:val="0"/>
      <w:numFmt w:val="bullet"/>
      <w:lvlText w:val="•"/>
      <w:lvlJc w:val="left"/>
      <w:pPr>
        <w:ind w:left="6708" w:hanging="269"/>
      </w:pPr>
      <w:rPr>
        <w:rFonts w:hint="default"/>
        <w:lang w:val="tr-TR" w:eastAsia="tr-TR" w:bidi="tr-TR"/>
      </w:rPr>
    </w:lvl>
    <w:lvl w:ilvl="7">
      <w:start w:val="0"/>
      <w:numFmt w:val="bullet"/>
      <w:lvlText w:val="•"/>
      <w:lvlJc w:val="left"/>
      <w:pPr>
        <w:ind w:left="7706" w:hanging="269"/>
      </w:pPr>
      <w:rPr>
        <w:rFonts w:hint="default"/>
        <w:lang w:val="tr-TR" w:eastAsia="tr-TR" w:bidi="tr-TR"/>
      </w:rPr>
    </w:lvl>
    <w:lvl w:ilvl="8">
      <w:start w:val="0"/>
      <w:numFmt w:val="bullet"/>
      <w:lvlText w:val="•"/>
      <w:lvlJc w:val="left"/>
      <w:pPr>
        <w:ind w:left="8704" w:hanging="269"/>
      </w:pPr>
      <w:rPr>
        <w:rFonts w:hint="default"/>
        <w:lang w:val="tr-TR" w:eastAsia="tr-TR" w:bidi="tr-TR"/>
      </w:rPr>
    </w:lvl>
  </w:abstractNum>
  <w:abstractNum w:abstractNumId="51">
    <w:multiLevelType w:val="hybridMultilevel"/>
    <w:lvl w:ilvl="0">
      <w:start w:val="1"/>
      <w:numFmt w:val="lowerLetter"/>
      <w:lvlText w:val="(%1)"/>
      <w:lvlJc w:val="left"/>
      <w:pPr>
        <w:ind w:left="1022" w:hanging="324"/>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24"/>
      </w:pPr>
      <w:rPr>
        <w:rFonts w:hint="default"/>
        <w:lang w:val="tr-TR" w:eastAsia="tr-TR" w:bidi="tr-TR"/>
      </w:rPr>
    </w:lvl>
    <w:lvl w:ilvl="2">
      <w:start w:val="0"/>
      <w:numFmt w:val="bullet"/>
      <w:lvlText w:val="•"/>
      <w:lvlJc w:val="left"/>
      <w:pPr>
        <w:ind w:left="2956" w:hanging="324"/>
      </w:pPr>
      <w:rPr>
        <w:rFonts w:hint="default"/>
        <w:lang w:val="tr-TR" w:eastAsia="tr-TR" w:bidi="tr-TR"/>
      </w:rPr>
    </w:lvl>
    <w:lvl w:ilvl="3">
      <w:start w:val="0"/>
      <w:numFmt w:val="bullet"/>
      <w:lvlText w:val="•"/>
      <w:lvlJc w:val="left"/>
      <w:pPr>
        <w:ind w:left="3924" w:hanging="324"/>
      </w:pPr>
      <w:rPr>
        <w:rFonts w:hint="default"/>
        <w:lang w:val="tr-TR" w:eastAsia="tr-TR" w:bidi="tr-TR"/>
      </w:rPr>
    </w:lvl>
    <w:lvl w:ilvl="4">
      <w:start w:val="0"/>
      <w:numFmt w:val="bullet"/>
      <w:lvlText w:val="•"/>
      <w:lvlJc w:val="left"/>
      <w:pPr>
        <w:ind w:left="4892" w:hanging="324"/>
      </w:pPr>
      <w:rPr>
        <w:rFonts w:hint="default"/>
        <w:lang w:val="tr-TR" w:eastAsia="tr-TR" w:bidi="tr-TR"/>
      </w:rPr>
    </w:lvl>
    <w:lvl w:ilvl="5">
      <w:start w:val="0"/>
      <w:numFmt w:val="bullet"/>
      <w:lvlText w:val="•"/>
      <w:lvlJc w:val="left"/>
      <w:pPr>
        <w:ind w:left="5860" w:hanging="324"/>
      </w:pPr>
      <w:rPr>
        <w:rFonts w:hint="default"/>
        <w:lang w:val="tr-TR" w:eastAsia="tr-TR" w:bidi="tr-TR"/>
      </w:rPr>
    </w:lvl>
    <w:lvl w:ilvl="6">
      <w:start w:val="0"/>
      <w:numFmt w:val="bullet"/>
      <w:lvlText w:val="•"/>
      <w:lvlJc w:val="left"/>
      <w:pPr>
        <w:ind w:left="6828" w:hanging="324"/>
      </w:pPr>
      <w:rPr>
        <w:rFonts w:hint="default"/>
        <w:lang w:val="tr-TR" w:eastAsia="tr-TR" w:bidi="tr-TR"/>
      </w:rPr>
    </w:lvl>
    <w:lvl w:ilvl="7">
      <w:start w:val="0"/>
      <w:numFmt w:val="bullet"/>
      <w:lvlText w:val="•"/>
      <w:lvlJc w:val="left"/>
      <w:pPr>
        <w:ind w:left="7796" w:hanging="324"/>
      </w:pPr>
      <w:rPr>
        <w:rFonts w:hint="default"/>
        <w:lang w:val="tr-TR" w:eastAsia="tr-TR" w:bidi="tr-TR"/>
      </w:rPr>
    </w:lvl>
    <w:lvl w:ilvl="8">
      <w:start w:val="0"/>
      <w:numFmt w:val="bullet"/>
      <w:lvlText w:val="•"/>
      <w:lvlJc w:val="left"/>
      <w:pPr>
        <w:ind w:left="8764" w:hanging="324"/>
      </w:pPr>
      <w:rPr>
        <w:rFonts w:hint="default"/>
        <w:lang w:val="tr-TR" w:eastAsia="tr-TR" w:bidi="tr-TR"/>
      </w:rPr>
    </w:lvl>
  </w:abstractNum>
  <w:abstractNum w:abstractNumId="50">
    <w:multiLevelType w:val="hybridMultilevel"/>
    <w:lvl w:ilvl="0">
      <w:start w:val="1"/>
      <w:numFmt w:val="lowerLetter"/>
      <w:lvlText w:val="(%1)"/>
      <w:lvlJc w:val="left"/>
      <w:pPr>
        <w:ind w:left="726" w:hanging="305"/>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305"/>
      </w:pPr>
      <w:rPr>
        <w:rFonts w:hint="default"/>
        <w:lang w:val="tr-TR" w:eastAsia="tr-TR" w:bidi="tr-TR"/>
      </w:rPr>
    </w:lvl>
    <w:lvl w:ilvl="2">
      <w:start w:val="0"/>
      <w:numFmt w:val="bullet"/>
      <w:lvlText w:val="•"/>
      <w:lvlJc w:val="left"/>
      <w:pPr>
        <w:ind w:left="2716" w:hanging="305"/>
      </w:pPr>
      <w:rPr>
        <w:rFonts w:hint="default"/>
        <w:lang w:val="tr-TR" w:eastAsia="tr-TR" w:bidi="tr-TR"/>
      </w:rPr>
    </w:lvl>
    <w:lvl w:ilvl="3">
      <w:start w:val="0"/>
      <w:numFmt w:val="bullet"/>
      <w:lvlText w:val="•"/>
      <w:lvlJc w:val="left"/>
      <w:pPr>
        <w:ind w:left="3714" w:hanging="305"/>
      </w:pPr>
      <w:rPr>
        <w:rFonts w:hint="default"/>
        <w:lang w:val="tr-TR" w:eastAsia="tr-TR" w:bidi="tr-TR"/>
      </w:rPr>
    </w:lvl>
    <w:lvl w:ilvl="4">
      <w:start w:val="0"/>
      <w:numFmt w:val="bullet"/>
      <w:lvlText w:val="•"/>
      <w:lvlJc w:val="left"/>
      <w:pPr>
        <w:ind w:left="4712" w:hanging="305"/>
      </w:pPr>
      <w:rPr>
        <w:rFonts w:hint="default"/>
        <w:lang w:val="tr-TR" w:eastAsia="tr-TR" w:bidi="tr-TR"/>
      </w:rPr>
    </w:lvl>
    <w:lvl w:ilvl="5">
      <w:start w:val="0"/>
      <w:numFmt w:val="bullet"/>
      <w:lvlText w:val="•"/>
      <w:lvlJc w:val="left"/>
      <w:pPr>
        <w:ind w:left="5710" w:hanging="305"/>
      </w:pPr>
      <w:rPr>
        <w:rFonts w:hint="default"/>
        <w:lang w:val="tr-TR" w:eastAsia="tr-TR" w:bidi="tr-TR"/>
      </w:rPr>
    </w:lvl>
    <w:lvl w:ilvl="6">
      <w:start w:val="0"/>
      <w:numFmt w:val="bullet"/>
      <w:lvlText w:val="•"/>
      <w:lvlJc w:val="left"/>
      <w:pPr>
        <w:ind w:left="6708" w:hanging="305"/>
      </w:pPr>
      <w:rPr>
        <w:rFonts w:hint="default"/>
        <w:lang w:val="tr-TR" w:eastAsia="tr-TR" w:bidi="tr-TR"/>
      </w:rPr>
    </w:lvl>
    <w:lvl w:ilvl="7">
      <w:start w:val="0"/>
      <w:numFmt w:val="bullet"/>
      <w:lvlText w:val="•"/>
      <w:lvlJc w:val="left"/>
      <w:pPr>
        <w:ind w:left="7706" w:hanging="305"/>
      </w:pPr>
      <w:rPr>
        <w:rFonts w:hint="default"/>
        <w:lang w:val="tr-TR" w:eastAsia="tr-TR" w:bidi="tr-TR"/>
      </w:rPr>
    </w:lvl>
    <w:lvl w:ilvl="8">
      <w:start w:val="0"/>
      <w:numFmt w:val="bullet"/>
      <w:lvlText w:val="•"/>
      <w:lvlJc w:val="left"/>
      <w:pPr>
        <w:ind w:left="8704" w:hanging="305"/>
      </w:pPr>
      <w:rPr>
        <w:rFonts w:hint="default"/>
        <w:lang w:val="tr-TR" w:eastAsia="tr-TR" w:bidi="tr-TR"/>
      </w:rPr>
    </w:lvl>
  </w:abstractNum>
  <w:abstractNum w:abstractNumId="49">
    <w:multiLevelType w:val="hybridMultilevel"/>
    <w:lvl w:ilvl="0">
      <w:start w:val="1"/>
      <w:numFmt w:val="decimal"/>
      <w:lvlText w:val="%1."/>
      <w:lvlJc w:val="left"/>
      <w:pPr>
        <w:ind w:left="726" w:hanging="26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60"/>
      </w:pPr>
      <w:rPr>
        <w:rFonts w:hint="default"/>
        <w:lang w:val="tr-TR" w:eastAsia="tr-TR" w:bidi="tr-TR"/>
      </w:rPr>
    </w:lvl>
    <w:lvl w:ilvl="2">
      <w:start w:val="0"/>
      <w:numFmt w:val="bullet"/>
      <w:lvlText w:val="•"/>
      <w:lvlJc w:val="left"/>
      <w:pPr>
        <w:ind w:left="2716" w:hanging="260"/>
      </w:pPr>
      <w:rPr>
        <w:rFonts w:hint="default"/>
        <w:lang w:val="tr-TR" w:eastAsia="tr-TR" w:bidi="tr-TR"/>
      </w:rPr>
    </w:lvl>
    <w:lvl w:ilvl="3">
      <w:start w:val="0"/>
      <w:numFmt w:val="bullet"/>
      <w:lvlText w:val="•"/>
      <w:lvlJc w:val="left"/>
      <w:pPr>
        <w:ind w:left="3714" w:hanging="260"/>
      </w:pPr>
      <w:rPr>
        <w:rFonts w:hint="default"/>
        <w:lang w:val="tr-TR" w:eastAsia="tr-TR" w:bidi="tr-TR"/>
      </w:rPr>
    </w:lvl>
    <w:lvl w:ilvl="4">
      <w:start w:val="0"/>
      <w:numFmt w:val="bullet"/>
      <w:lvlText w:val="•"/>
      <w:lvlJc w:val="left"/>
      <w:pPr>
        <w:ind w:left="4712" w:hanging="260"/>
      </w:pPr>
      <w:rPr>
        <w:rFonts w:hint="default"/>
        <w:lang w:val="tr-TR" w:eastAsia="tr-TR" w:bidi="tr-TR"/>
      </w:rPr>
    </w:lvl>
    <w:lvl w:ilvl="5">
      <w:start w:val="0"/>
      <w:numFmt w:val="bullet"/>
      <w:lvlText w:val="•"/>
      <w:lvlJc w:val="left"/>
      <w:pPr>
        <w:ind w:left="5710" w:hanging="260"/>
      </w:pPr>
      <w:rPr>
        <w:rFonts w:hint="default"/>
        <w:lang w:val="tr-TR" w:eastAsia="tr-TR" w:bidi="tr-TR"/>
      </w:rPr>
    </w:lvl>
    <w:lvl w:ilvl="6">
      <w:start w:val="0"/>
      <w:numFmt w:val="bullet"/>
      <w:lvlText w:val="•"/>
      <w:lvlJc w:val="left"/>
      <w:pPr>
        <w:ind w:left="6708" w:hanging="260"/>
      </w:pPr>
      <w:rPr>
        <w:rFonts w:hint="default"/>
        <w:lang w:val="tr-TR" w:eastAsia="tr-TR" w:bidi="tr-TR"/>
      </w:rPr>
    </w:lvl>
    <w:lvl w:ilvl="7">
      <w:start w:val="0"/>
      <w:numFmt w:val="bullet"/>
      <w:lvlText w:val="•"/>
      <w:lvlJc w:val="left"/>
      <w:pPr>
        <w:ind w:left="7706" w:hanging="260"/>
      </w:pPr>
      <w:rPr>
        <w:rFonts w:hint="default"/>
        <w:lang w:val="tr-TR" w:eastAsia="tr-TR" w:bidi="tr-TR"/>
      </w:rPr>
    </w:lvl>
    <w:lvl w:ilvl="8">
      <w:start w:val="0"/>
      <w:numFmt w:val="bullet"/>
      <w:lvlText w:val="•"/>
      <w:lvlJc w:val="left"/>
      <w:pPr>
        <w:ind w:left="8704" w:hanging="260"/>
      </w:pPr>
      <w:rPr>
        <w:rFonts w:hint="default"/>
        <w:lang w:val="tr-TR" w:eastAsia="tr-TR" w:bidi="tr-TR"/>
      </w:rPr>
    </w:lvl>
  </w:abstractNum>
  <w:abstractNum w:abstractNumId="48">
    <w:multiLevelType w:val="hybridMultilevel"/>
    <w:lvl w:ilvl="0">
      <w:start w:val="9"/>
      <w:numFmt w:val="decimal"/>
      <w:lvlText w:val="%1."/>
      <w:lvlJc w:val="left"/>
      <w:pPr>
        <w:ind w:left="726" w:hanging="41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413"/>
      </w:pPr>
      <w:rPr>
        <w:rFonts w:hint="default"/>
        <w:lang w:val="tr-TR" w:eastAsia="tr-TR" w:bidi="tr-TR"/>
      </w:rPr>
    </w:lvl>
    <w:lvl w:ilvl="2">
      <w:start w:val="0"/>
      <w:numFmt w:val="bullet"/>
      <w:lvlText w:val="•"/>
      <w:lvlJc w:val="left"/>
      <w:pPr>
        <w:ind w:left="2716" w:hanging="413"/>
      </w:pPr>
      <w:rPr>
        <w:rFonts w:hint="default"/>
        <w:lang w:val="tr-TR" w:eastAsia="tr-TR" w:bidi="tr-TR"/>
      </w:rPr>
    </w:lvl>
    <w:lvl w:ilvl="3">
      <w:start w:val="0"/>
      <w:numFmt w:val="bullet"/>
      <w:lvlText w:val="•"/>
      <w:lvlJc w:val="left"/>
      <w:pPr>
        <w:ind w:left="3714" w:hanging="413"/>
      </w:pPr>
      <w:rPr>
        <w:rFonts w:hint="default"/>
        <w:lang w:val="tr-TR" w:eastAsia="tr-TR" w:bidi="tr-TR"/>
      </w:rPr>
    </w:lvl>
    <w:lvl w:ilvl="4">
      <w:start w:val="0"/>
      <w:numFmt w:val="bullet"/>
      <w:lvlText w:val="•"/>
      <w:lvlJc w:val="left"/>
      <w:pPr>
        <w:ind w:left="4712" w:hanging="413"/>
      </w:pPr>
      <w:rPr>
        <w:rFonts w:hint="default"/>
        <w:lang w:val="tr-TR" w:eastAsia="tr-TR" w:bidi="tr-TR"/>
      </w:rPr>
    </w:lvl>
    <w:lvl w:ilvl="5">
      <w:start w:val="0"/>
      <w:numFmt w:val="bullet"/>
      <w:lvlText w:val="•"/>
      <w:lvlJc w:val="left"/>
      <w:pPr>
        <w:ind w:left="5710" w:hanging="413"/>
      </w:pPr>
      <w:rPr>
        <w:rFonts w:hint="default"/>
        <w:lang w:val="tr-TR" w:eastAsia="tr-TR" w:bidi="tr-TR"/>
      </w:rPr>
    </w:lvl>
    <w:lvl w:ilvl="6">
      <w:start w:val="0"/>
      <w:numFmt w:val="bullet"/>
      <w:lvlText w:val="•"/>
      <w:lvlJc w:val="left"/>
      <w:pPr>
        <w:ind w:left="6708" w:hanging="413"/>
      </w:pPr>
      <w:rPr>
        <w:rFonts w:hint="default"/>
        <w:lang w:val="tr-TR" w:eastAsia="tr-TR" w:bidi="tr-TR"/>
      </w:rPr>
    </w:lvl>
    <w:lvl w:ilvl="7">
      <w:start w:val="0"/>
      <w:numFmt w:val="bullet"/>
      <w:lvlText w:val="•"/>
      <w:lvlJc w:val="left"/>
      <w:pPr>
        <w:ind w:left="7706" w:hanging="413"/>
      </w:pPr>
      <w:rPr>
        <w:rFonts w:hint="default"/>
        <w:lang w:val="tr-TR" w:eastAsia="tr-TR" w:bidi="tr-TR"/>
      </w:rPr>
    </w:lvl>
    <w:lvl w:ilvl="8">
      <w:start w:val="0"/>
      <w:numFmt w:val="bullet"/>
      <w:lvlText w:val="•"/>
      <w:lvlJc w:val="left"/>
      <w:pPr>
        <w:ind w:left="8704" w:hanging="413"/>
      </w:pPr>
      <w:rPr>
        <w:rFonts w:hint="default"/>
        <w:lang w:val="tr-TR" w:eastAsia="tr-TR" w:bidi="tr-TR"/>
      </w:rPr>
    </w:lvl>
  </w:abstractNum>
  <w:abstractNum w:abstractNumId="47">
    <w:multiLevelType w:val="hybridMultilevel"/>
    <w:lvl w:ilvl="0">
      <w:start w:val="1"/>
      <w:numFmt w:val="lowerLetter"/>
      <w:lvlText w:val="(%1)"/>
      <w:lvlJc w:val="left"/>
      <w:pPr>
        <w:ind w:left="1024" w:hanging="396"/>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96"/>
      </w:pPr>
      <w:rPr>
        <w:rFonts w:hint="default"/>
        <w:lang w:val="tr-TR" w:eastAsia="tr-TR" w:bidi="tr-TR"/>
      </w:rPr>
    </w:lvl>
    <w:lvl w:ilvl="2">
      <w:start w:val="0"/>
      <w:numFmt w:val="bullet"/>
      <w:lvlText w:val="•"/>
      <w:lvlJc w:val="left"/>
      <w:pPr>
        <w:ind w:left="2956" w:hanging="396"/>
      </w:pPr>
      <w:rPr>
        <w:rFonts w:hint="default"/>
        <w:lang w:val="tr-TR" w:eastAsia="tr-TR" w:bidi="tr-TR"/>
      </w:rPr>
    </w:lvl>
    <w:lvl w:ilvl="3">
      <w:start w:val="0"/>
      <w:numFmt w:val="bullet"/>
      <w:lvlText w:val="•"/>
      <w:lvlJc w:val="left"/>
      <w:pPr>
        <w:ind w:left="3924" w:hanging="396"/>
      </w:pPr>
      <w:rPr>
        <w:rFonts w:hint="default"/>
        <w:lang w:val="tr-TR" w:eastAsia="tr-TR" w:bidi="tr-TR"/>
      </w:rPr>
    </w:lvl>
    <w:lvl w:ilvl="4">
      <w:start w:val="0"/>
      <w:numFmt w:val="bullet"/>
      <w:lvlText w:val="•"/>
      <w:lvlJc w:val="left"/>
      <w:pPr>
        <w:ind w:left="4892" w:hanging="396"/>
      </w:pPr>
      <w:rPr>
        <w:rFonts w:hint="default"/>
        <w:lang w:val="tr-TR" w:eastAsia="tr-TR" w:bidi="tr-TR"/>
      </w:rPr>
    </w:lvl>
    <w:lvl w:ilvl="5">
      <w:start w:val="0"/>
      <w:numFmt w:val="bullet"/>
      <w:lvlText w:val="•"/>
      <w:lvlJc w:val="left"/>
      <w:pPr>
        <w:ind w:left="5860" w:hanging="396"/>
      </w:pPr>
      <w:rPr>
        <w:rFonts w:hint="default"/>
        <w:lang w:val="tr-TR" w:eastAsia="tr-TR" w:bidi="tr-TR"/>
      </w:rPr>
    </w:lvl>
    <w:lvl w:ilvl="6">
      <w:start w:val="0"/>
      <w:numFmt w:val="bullet"/>
      <w:lvlText w:val="•"/>
      <w:lvlJc w:val="left"/>
      <w:pPr>
        <w:ind w:left="6828" w:hanging="396"/>
      </w:pPr>
      <w:rPr>
        <w:rFonts w:hint="default"/>
        <w:lang w:val="tr-TR" w:eastAsia="tr-TR" w:bidi="tr-TR"/>
      </w:rPr>
    </w:lvl>
    <w:lvl w:ilvl="7">
      <w:start w:val="0"/>
      <w:numFmt w:val="bullet"/>
      <w:lvlText w:val="•"/>
      <w:lvlJc w:val="left"/>
      <w:pPr>
        <w:ind w:left="7796" w:hanging="396"/>
      </w:pPr>
      <w:rPr>
        <w:rFonts w:hint="default"/>
        <w:lang w:val="tr-TR" w:eastAsia="tr-TR" w:bidi="tr-TR"/>
      </w:rPr>
    </w:lvl>
    <w:lvl w:ilvl="8">
      <w:start w:val="0"/>
      <w:numFmt w:val="bullet"/>
      <w:lvlText w:val="•"/>
      <w:lvlJc w:val="left"/>
      <w:pPr>
        <w:ind w:left="8764" w:hanging="396"/>
      </w:pPr>
      <w:rPr>
        <w:rFonts w:hint="default"/>
        <w:lang w:val="tr-TR" w:eastAsia="tr-TR" w:bidi="tr-TR"/>
      </w:rPr>
    </w:lvl>
  </w:abstractNum>
  <w:abstractNum w:abstractNumId="46">
    <w:multiLevelType w:val="hybridMultilevel"/>
    <w:lvl w:ilvl="0">
      <w:start w:val="1"/>
      <w:numFmt w:val="decimal"/>
      <w:lvlText w:val="%1."/>
      <w:lvlJc w:val="left"/>
      <w:pPr>
        <w:ind w:left="726" w:hanging="276"/>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76"/>
      </w:pPr>
      <w:rPr>
        <w:rFonts w:hint="default"/>
        <w:lang w:val="tr-TR" w:eastAsia="tr-TR" w:bidi="tr-TR"/>
      </w:rPr>
    </w:lvl>
    <w:lvl w:ilvl="2">
      <w:start w:val="0"/>
      <w:numFmt w:val="bullet"/>
      <w:lvlText w:val="•"/>
      <w:lvlJc w:val="left"/>
      <w:pPr>
        <w:ind w:left="2716" w:hanging="276"/>
      </w:pPr>
      <w:rPr>
        <w:rFonts w:hint="default"/>
        <w:lang w:val="tr-TR" w:eastAsia="tr-TR" w:bidi="tr-TR"/>
      </w:rPr>
    </w:lvl>
    <w:lvl w:ilvl="3">
      <w:start w:val="0"/>
      <w:numFmt w:val="bullet"/>
      <w:lvlText w:val="•"/>
      <w:lvlJc w:val="left"/>
      <w:pPr>
        <w:ind w:left="3714" w:hanging="276"/>
      </w:pPr>
      <w:rPr>
        <w:rFonts w:hint="default"/>
        <w:lang w:val="tr-TR" w:eastAsia="tr-TR" w:bidi="tr-TR"/>
      </w:rPr>
    </w:lvl>
    <w:lvl w:ilvl="4">
      <w:start w:val="0"/>
      <w:numFmt w:val="bullet"/>
      <w:lvlText w:val="•"/>
      <w:lvlJc w:val="left"/>
      <w:pPr>
        <w:ind w:left="4712" w:hanging="276"/>
      </w:pPr>
      <w:rPr>
        <w:rFonts w:hint="default"/>
        <w:lang w:val="tr-TR" w:eastAsia="tr-TR" w:bidi="tr-TR"/>
      </w:rPr>
    </w:lvl>
    <w:lvl w:ilvl="5">
      <w:start w:val="0"/>
      <w:numFmt w:val="bullet"/>
      <w:lvlText w:val="•"/>
      <w:lvlJc w:val="left"/>
      <w:pPr>
        <w:ind w:left="5710" w:hanging="276"/>
      </w:pPr>
      <w:rPr>
        <w:rFonts w:hint="default"/>
        <w:lang w:val="tr-TR" w:eastAsia="tr-TR" w:bidi="tr-TR"/>
      </w:rPr>
    </w:lvl>
    <w:lvl w:ilvl="6">
      <w:start w:val="0"/>
      <w:numFmt w:val="bullet"/>
      <w:lvlText w:val="•"/>
      <w:lvlJc w:val="left"/>
      <w:pPr>
        <w:ind w:left="6708" w:hanging="276"/>
      </w:pPr>
      <w:rPr>
        <w:rFonts w:hint="default"/>
        <w:lang w:val="tr-TR" w:eastAsia="tr-TR" w:bidi="tr-TR"/>
      </w:rPr>
    </w:lvl>
    <w:lvl w:ilvl="7">
      <w:start w:val="0"/>
      <w:numFmt w:val="bullet"/>
      <w:lvlText w:val="•"/>
      <w:lvlJc w:val="left"/>
      <w:pPr>
        <w:ind w:left="7706" w:hanging="276"/>
      </w:pPr>
      <w:rPr>
        <w:rFonts w:hint="default"/>
        <w:lang w:val="tr-TR" w:eastAsia="tr-TR" w:bidi="tr-TR"/>
      </w:rPr>
    </w:lvl>
    <w:lvl w:ilvl="8">
      <w:start w:val="0"/>
      <w:numFmt w:val="bullet"/>
      <w:lvlText w:val="•"/>
      <w:lvlJc w:val="left"/>
      <w:pPr>
        <w:ind w:left="8704" w:hanging="276"/>
      </w:pPr>
      <w:rPr>
        <w:rFonts w:hint="default"/>
        <w:lang w:val="tr-TR" w:eastAsia="tr-TR" w:bidi="tr-TR"/>
      </w:rPr>
    </w:lvl>
  </w:abstractNum>
  <w:abstractNum w:abstractNumId="45">
    <w:multiLevelType w:val="hybridMultilevel"/>
    <w:lvl w:ilvl="0">
      <w:start w:val="1"/>
      <w:numFmt w:val="lowerLetter"/>
      <w:lvlText w:val="(%1)"/>
      <w:lvlJc w:val="left"/>
      <w:pPr>
        <w:ind w:left="1022" w:hanging="338"/>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38"/>
      </w:pPr>
      <w:rPr>
        <w:rFonts w:hint="default"/>
        <w:lang w:val="tr-TR" w:eastAsia="tr-TR" w:bidi="tr-TR"/>
      </w:rPr>
    </w:lvl>
    <w:lvl w:ilvl="2">
      <w:start w:val="0"/>
      <w:numFmt w:val="bullet"/>
      <w:lvlText w:val="•"/>
      <w:lvlJc w:val="left"/>
      <w:pPr>
        <w:ind w:left="2956" w:hanging="338"/>
      </w:pPr>
      <w:rPr>
        <w:rFonts w:hint="default"/>
        <w:lang w:val="tr-TR" w:eastAsia="tr-TR" w:bidi="tr-TR"/>
      </w:rPr>
    </w:lvl>
    <w:lvl w:ilvl="3">
      <w:start w:val="0"/>
      <w:numFmt w:val="bullet"/>
      <w:lvlText w:val="•"/>
      <w:lvlJc w:val="left"/>
      <w:pPr>
        <w:ind w:left="3924" w:hanging="338"/>
      </w:pPr>
      <w:rPr>
        <w:rFonts w:hint="default"/>
        <w:lang w:val="tr-TR" w:eastAsia="tr-TR" w:bidi="tr-TR"/>
      </w:rPr>
    </w:lvl>
    <w:lvl w:ilvl="4">
      <w:start w:val="0"/>
      <w:numFmt w:val="bullet"/>
      <w:lvlText w:val="•"/>
      <w:lvlJc w:val="left"/>
      <w:pPr>
        <w:ind w:left="4892" w:hanging="338"/>
      </w:pPr>
      <w:rPr>
        <w:rFonts w:hint="default"/>
        <w:lang w:val="tr-TR" w:eastAsia="tr-TR" w:bidi="tr-TR"/>
      </w:rPr>
    </w:lvl>
    <w:lvl w:ilvl="5">
      <w:start w:val="0"/>
      <w:numFmt w:val="bullet"/>
      <w:lvlText w:val="•"/>
      <w:lvlJc w:val="left"/>
      <w:pPr>
        <w:ind w:left="5860" w:hanging="338"/>
      </w:pPr>
      <w:rPr>
        <w:rFonts w:hint="default"/>
        <w:lang w:val="tr-TR" w:eastAsia="tr-TR" w:bidi="tr-TR"/>
      </w:rPr>
    </w:lvl>
    <w:lvl w:ilvl="6">
      <w:start w:val="0"/>
      <w:numFmt w:val="bullet"/>
      <w:lvlText w:val="•"/>
      <w:lvlJc w:val="left"/>
      <w:pPr>
        <w:ind w:left="6828" w:hanging="338"/>
      </w:pPr>
      <w:rPr>
        <w:rFonts w:hint="default"/>
        <w:lang w:val="tr-TR" w:eastAsia="tr-TR" w:bidi="tr-TR"/>
      </w:rPr>
    </w:lvl>
    <w:lvl w:ilvl="7">
      <w:start w:val="0"/>
      <w:numFmt w:val="bullet"/>
      <w:lvlText w:val="•"/>
      <w:lvlJc w:val="left"/>
      <w:pPr>
        <w:ind w:left="7796" w:hanging="338"/>
      </w:pPr>
      <w:rPr>
        <w:rFonts w:hint="default"/>
        <w:lang w:val="tr-TR" w:eastAsia="tr-TR" w:bidi="tr-TR"/>
      </w:rPr>
    </w:lvl>
    <w:lvl w:ilvl="8">
      <w:start w:val="0"/>
      <w:numFmt w:val="bullet"/>
      <w:lvlText w:val="•"/>
      <w:lvlJc w:val="left"/>
      <w:pPr>
        <w:ind w:left="8764" w:hanging="338"/>
      </w:pPr>
      <w:rPr>
        <w:rFonts w:hint="default"/>
        <w:lang w:val="tr-TR" w:eastAsia="tr-TR" w:bidi="tr-TR"/>
      </w:rPr>
    </w:lvl>
  </w:abstractNum>
  <w:abstractNum w:abstractNumId="44">
    <w:multiLevelType w:val="hybridMultilevel"/>
    <w:lvl w:ilvl="0">
      <w:start w:val="1"/>
      <w:numFmt w:val="decimal"/>
      <w:lvlText w:val="%1."/>
      <w:lvlJc w:val="left"/>
      <w:pPr>
        <w:ind w:left="726" w:hanging="23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33"/>
      </w:pPr>
      <w:rPr>
        <w:rFonts w:hint="default"/>
        <w:lang w:val="tr-TR" w:eastAsia="tr-TR" w:bidi="tr-TR"/>
      </w:rPr>
    </w:lvl>
    <w:lvl w:ilvl="2">
      <w:start w:val="0"/>
      <w:numFmt w:val="bullet"/>
      <w:lvlText w:val="•"/>
      <w:lvlJc w:val="left"/>
      <w:pPr>
        <w:ind w:left="2716" w:hanging="233"/>
      </w:pPr>
      <w:rPr>
        <w:rFonts w:hint="default"/>
        <w:lang w:val="tr-TR" w:eastAsia="tr-TR" w:bidi="tr-TR"/>
      </w:rPr>
    </w:lvl>
    <w:lvl w:ilvl="3">
      <w:start w:val="0"/>
      <w:numFmt w:val="bullet"/>
      <w:lvlText w:val="•"/>
      <w:lvlJc w:val="left"/>
      <w:pPr>
        <w:ind w:left="3714" w:hanging="233"/>
      </w:pPr>
      <w:rPr>
        <w:rFonts w:hint="default"/>
        <w:lang w:val="tr-TR" w:eastAsia="tr-TR" w:bidi="tr-TR"/>
      </w:rPr>
    </w:lvl>
    <w:lvl w:ilvl="4">
      <w:start w:val="0"/>
      <w:numFmt w:val="bullet"/>
      <w:lvlText w:val="•"/>
      <w:lvlJc w:val="left"/>
      <w:pPr>
        <w:ind w:left="4712" w:hanging="233"/>
      </w:pPr>
      <w:rPr>
        <w:rFonts w:hint="default"/>
        <w:lang w:val="tr-TR" w:eastAsia="tr-TR" w:bidi="tr-TR"/>
      </w:rPr>
    </w:lvl>
    <w:lvl w:ilvl="5">
      <w:start w:val="0"/>
      <w:numFmt w:val="bullet"/>
      <w:lvlText w:val="•"/>
      <w:lvlJc w:val="left"/>
      <w:pPr>
        <w:ind w:left="5710" w:hanging="233"/>
      </w:pPr>
      <w:rPr>
        <w:rFonts w:hint="default"/>
        <w:lang w:val="tr-TR" w:eastAsia="tr-TR" w:bidi="tr-TR"/>
      </w:rPr>
    </w:lvl>
    <w:lvl w:ilvl="6">
      <w:start w:val="0"/>
      <w:numFmt w:val="bullet"/>
      <w:lvlText w:val="•"/>
      <w:lvlJc w:val="left"/>
      <w:pPr>
        <w:ind w:left="6708" w:hanging="233"/>
      </w:pPr>
      <w:rPr>
        <w:rFonts w:hint="default"/>
        <w:lang w:val="tr-TR" w:eastAsia="tr-TR" w:bidi="tr-TR"/>
      </w:rPr>
    </w:lvl>
    <w:lvl w:ilvl="7">
      <w:start w:val="0"/>
      <w:numFmt w:val="bullet"/>
      <w:lvlText w:val="•"/>
      <w:lvlJc w:val="left"/>
      <w:pPr>
        <w:ind w:left="7706" w:hanging="233"/>
      </w:pPr>
      <w:rPr>
        <w:rFonts w:hint="default"/>
        <w:lang w:val="tr-TR" w:eastAsia="tr-TR" w:bidi="tr-TR"/>
      </w:rPr>
    </w:lvl>
    <w:lvl w:ilvl="8">
      <w:start w:val="0"/>
      <w:numFmt w:val="bullet"/>
      <w:lvlText w:val="•"/>
      <w:lvlJc w:val="left"/>
      <w:pPr>
        <w:ind w:left="8704" w:hanging="233"/>
      </w:pPr>
      <w:rPr>
        <w:rFonts w:hint="default"/>
        <w:lang w:val="tr-TR" w:eastAsia="tr-TR" w:bidi="tr-TR"/>
      </w:rPr>
    </w:lvl>
  </w:abstractNum>
  <w:abstractNum w:abstractNumId="43">
    <w:multiLevelType w:val="hybridMultilevel"/>
    <w:lvl w:ilvl="0">
      <w:start w:val="1"/>
      <w:numFmt w:val="decimal"/>
      <w:lvlText w:val="%1."/>
      <w:lvlJc w:val="left"/>
      <w:pPr>
        <w:ind w:left="726" w:hanging="25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50"/>
      </w:pPr>
      <w:rPr>
        <w:rFonts w:hint="default"/>
        <w:lang w:val="tr-TR" w:eastAsia="tr-TR" w:bidi="tr-TR"/>
      </w:rPr>
    </w:lvl>
    <w:lvl w:ilvl="2">
      <w:start w:val="0"/>
      <w:numFmt w:val="bullet"/>
      <w:lvlText w:val="•"/>
      <w:lvlJc w:val="left"/>
      <w:pPr>
        <w:ind w:left="2716" w:hanging="250"/>
      </w:pPr>
      <w:rPr>
        <w:rFonts w:hint="default"/>
        <w:lang w:val="tr-TR" w:eastAsia="tr-TR" w:bidi="tr-TR"/>
      </w:rPr>
    </w:lvl>
    <w:lvl w:ilvl="3">
      <w:start w:val="0"/>
      <w:numFmt w:val="bullet"/>
      <w:lvlText w:val="•"/>
      <w:lvlJc w:val="left"/>
      <w:pPr>
        <w:ind w:left="3714" w:hanging="250"/>
      </w:pPr>
      <w:rPr>
        <w:rFonts w:hint="default"/>
        <w:lang w:val="tr-TR" w:eastAsia="tr-TR" w:bidi="tr-TR"/>
      </w:rPr>
    </w:lvl>
    <w:lvl w:ilvl="4">
      <w:start w:val="0"/>
      <w:numFmt w:val="bullet"/>
      <w:lvlText w:val="•"/>
      <w:lvlJc w:val="left"/>
      <w:pPr>
        <w:ind w:left="4712" w:hanging="250"/>
      </w:pPr>
      <w:rPr>
        <w:rFonts w:hint="default"/>
        <w:lang w:val="tr-TR" w:eastAsia="tr-TR" w:bidi="tr-TR"/>
      </w:rPr>
    </w:lvl>
    <w:lvl w:ilvl="5">
      <w:start w:val="0"/>
      <w:numFmt w:val="bullet"/>
      <w:lvlText w:val="•"/>
      <w:lvlJc w:val="left"/>
      <w:pPr>
        <w:ind w:left="5710" w:hanging="250"/>
      </w:pPr>
      <w:rPr>
        <w:rFonts w:hint="default"/>
        <w:lang w:val="tr-TR" w:eastAsia="tr-TR" w:bidi="tr-TR"/>
      </w:rPr>
    </w:lvl>
    <w:lvl w:ilvl="6">
      <w:start w:val="0"/>
      <w:numFmt w:val="bullet"/>
      <w:lvlText w:val="•"/>
      <w:lvlJc w:val="left"/>
      <w:pPr>
        <w:ind w:left="6708" w:hanging="250"/>
      </w:pPr>
      <w:rPr>
        <w:rFonts w:hint="default"/>
        <w:lang w:val="tr-TR" w:eastAsia="tr-TR" w:bidi="tr-TR"/>
      </w:rPr>
    </w:lvl>
    <w:lvl w:ilvl="7">
      <w:start w:val="0"/>
      <w:numFmt w:val="bullet"/>
      <w:lvlText w:val="•"/>
      <w:lvlJc w:val="left"/>
      <w:pPr>
        <w:ind w:left="7706" w:hanging="250"/>
      </w:pPr>
      <w:rPr>
        <w:rFonts w:hint="default"/>
        <w:lang w:val="tr-TR" w:eastAsia="tr-TR" w:bidi="tr-TR"/>
      </w:rPr>
    </w:lvl>
    <w:lvl w:ilvl="8">
      <w:start w:val="0"/>
      <w:numFmt w:val="bullet"/>
      <w:lvlText w:val="•"/>
      <w:lvlJc w:val="left"/>
      <w:pPr>
        <w:ind w:left="8704" w:hanging="250"/>
      </w:pPr>
      <w:rPr>
        <w:rFonts w:hint="default"/>
        <w:lang w:val="tr-TR" w:eastAsia="tr-TR" w:bidi="tr-TR"/>
      </w:rPr>
    </w:lvl>
  </w:abstractNum>
  <w:abstractNum w:abstractNumId="42">
    <w:multiLevelType w:val="hybridMultilevel"/>
    <w:lvl w:ilvl="0">
      <w:start w:val="1"/>
      <w:numFmt w:val="decimal"/>
      <w:lvlText w:val="%1."/>
      <w:lvlJc w:val="left"/>
      <w:pPr>
        <w:ind w:left="726" w:hanging="276"/>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76"/>
      </w:pPr>
      <w:rPr>
        <w:rFonts w:hint="default"/>
        <w:lang w:val="tr-TR" w:eastAsia="tr-TR" w:bidi="tr-TR"/>
      </w:rPr>
    </w:lvl>
    <w:lvl w:ilvl="2">
      <w:start w:val="0"/>
      <w:numFmt w:val="bullet"/>
      <w:lvlText w:val="•"/>
      <w:lvlJc w:val="left"/>
      <w:pPr>
        <w:ind w:left="2716" w:hanging="276"/>
      </w:pPr>
      <w:rPr>
        <w:rFonts w:hint="default"/>
        <w:lang w:val="tr-TR" w:eastAsia="tr-TR" w:bidi="tr-TR"/>
      </w:rPr>
    </w:lvl>
    <w:lvl w:ilvl="3">
      <w:start w:val="0"/>
      <w:numFmt w:val="bullet"/>
      <w:lvlText w:val="•"/>
      <w:lvlJc w:val="left"/>
      <w:pPr>
        <w:ind w:left="3714" w:hanging="276"/>
      </w:pPr>
      <w:rPr>
        <w:rFonts w:hint="default"/>
        <w:lang w:val="tr-TR" w:eastAsia="tr-TR" w:bidi="tr-TR"/>
      </w:rPr>
    </w:lvl>
    <w:lvl w:ilvl="4">
      <w:start w:val="0"/>
      <w:numFmt w:val="bullet"/>
      <w:lvlText w:val="•"/>
      <w:lvlJc w:val="left"/>
      <w:pPr>
        <w:ind w:left="4712" w:hanging="276"/>
      </w:pPr>
      <w:rPr>
        <w:rFonts w:hint="default"/>
        <w:lang w:val="tr-TR" w:eastAsia="tr-TR" w:bidi="tr-TR"/>
      </w:rPr>
    </w:lvl>
    <w:lvl w:ilvl="5">
      <w:start w:val="0"/>
      <w:numFmt w:val="bullet"/>
      <w:lvlText w:val="•"/>
      <w:lvlJc w:val="left"/>
      <w:pPr>
        <w:ind w:left="5710" w:hanging="276"/>
      </w:pPr>
      <w:rPr>
        <w:rFonts w:hint="default"/>
        <w:lang w:val="tr-TR" w:eastAsia="tr-TR" w:bidi="tr-TR"/>
      </w:rPr>
    </w:lvl>
    <w:lvl w:ilvl="6">
      <w:start w:val="0"/>
      <w:numFmt w:val="bullet"/>
      <w:lvlText w:val="•"/>
      <w:lvlJc w:val="left"/>
      <w:pPr>
        <w:ind w:left="6708" w:hanging="276"/>
      </w:pPr>
      <w:rPr>
        <w:rFonts w:hint="default"/>
        <w:lang w:val="tr-TR" w:eastAsia="tr-TR" w:bidi="tr-TR"/>
      </w:rPr>
    </w:lvl>
    <w:lvl w:ilvl="7">
      <w:start w:val="0"/>
      <w:numFmt w:val="bullet"/>
      <w:lvlText w:val="•"/>
      <w:lvlJc w:val="left"/>
      <w:pPr>
        <w:ind w:left="7706" w:hanging="276"/>
      </w:pPr>
      <w:rPr>
        <w:rFonts w:hint="default"/>
        <w:lang w:val="tr-TR" w:eastAsia="tr-TR" w:bidi="tr-TR"/>
      </w:rPr>
    </w:lvl>
    <w:lvl w:ilvl="8">
      <w:start w:val="0"/>
      <w:numFmt w:val="bullet"/>
      <w:lvlText w:val="•"/>
      <w:lvlJc w:val="left"/>
      <w:pPr>
        <w:ind w:left="8704" w:hanging="276"/>
      </w:pPr>
      <w:rPr>
        <w:rFonts w:hint="default"/>
        <w:lang w:val="tr-TR" w:eastAsia="tr-TR" w:bidi="tr-TR"/>
      </w:rPr>
    </w:lvl>
  </w:abstractNum>
  <w:abstractNum w:abstractNumId="41">
    <w:multiLevelType w:val="hybridMultilevel"/>
    <w:lvl w:ilvl="0">
      <w:start w:val="1"/>
      <w:numFmt w:val="decimal"/>
      <w:lvlText w:val="%1."/>
      <w:lvlJc w:val="left"/>
      <w:pPr>
        <w:ind w:left="666" w:hanging="814"/>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664" w:hanging="814"/>
      </w:pPr>
      <w:rPr>
        <w:rFonts w:hint="default"/>
        <w:lang w:val="tr-TR" w:eastAsia="tr-TR" w:bidi="tr-TR"/>
      </w:rPr>
    </w:lvl>
    <w:lvl w:ilvl="2">
      <w:start w:val="0"/>
      <w:numFmt w:val="bullet"/>
      <w:lvlText w:val="•"/>
      <w:lvlJc w:val="left"/>
      <w:pPr>
        <w:ind w:left="2668" w:hanging="814"/>
      </w:pPr>
      <w:rPr>
        <w:rFonts w:hint="default"/>
        <w:lang w:val="tr-TR" w:eastAsia="tr-TR" w:bidi="tr-TR"/>
      </w:rPr>
    </w:lvl>
    <w:lvl w:ilvl="3">
      <w:start w:val="0"/>
      <w:numFmt w:val="bullet"/>
      <w:lvlText w:val="•"/>
      <w:lvlJc w:val="left"/>
      <w:pPr>
        <w:ind w:left="3672" w:hanging="814"/>
      </w:pPr>
      <w:rPr>
        <w:rFonts w:hint="default"/>
        <w:lang w:val="tr-TR" w:eastAsia="tr-TR" w:bidi="tr-TR"/>
      </w:rPr>
    </w:lvl>
    <w:lvl w:ilvl="4">
      <w:start w:val="0"/>
      <w:numFmt w:val="bullet"/>
      <w:lvlText w:val="•"/>
      <w:lvlJc w:val="left"/>
      <w:pPr>
        <w:ind w:left="4676" w:hanging="814"/>
      </w:pPr>
      <w:rPr>
        <w:rFonts w:hint="default"/>
        <w:lang w:val="tr-TR" w:eastAsia="tr-TR" w:bidi="tr-TR"/>
      </w:rPr>
    </w:lvl>
    <w:lvl w:ilvl="5">
      <w:start w:val="0"/>
      <w:numFmt w:val="bullet"/>
      <w:lvlText w:val="•"/>
      <w:lvlJc w:val="left"/>
      <w:pPr>
        <w:ind w:left="5680" w:hanging="814"/>
      </w:pPr>
      <w:rPr>
        <w:rFonts w:hint="default"/>
        <w:lang w:val="tr-TR" w:eastAsia="tr-TR" w:bidi="tr-TR"/>
      </w:rPr>
    </w:lvl>
    <w:lvl w:ilvl="6">
      <w:start w:val="0"/>
      <w:numFmt w:val="bullet"/>
      <w:lvlText w:val="•"/>
      <w:lvlJc w:val="left"/>
      <w:pPr>
        <w:ind w:left="6684" w:hanging="814"/>
      </w:pPr>
      <w:rPr>
        <w:rFonts w:hint="default"/>
        <w:lang w:val="tr-TR" w:eastAsia="tr-TR" w:bidi="tr-TR"/>
      </w:rPr>
    </w:lvl>
    <w:lvl w:ilvl="7">
      <w:start w:val="0"/>
      <w:numFmt w:val="bullet"/>
      <w:lvlText w:val="•"/>
      <w:lvlJc w:val="left"/>
      <w:pPr>
        <w:ind w:left="7688" w:hanging="814"/>
      </w:pPr>
      <w:rPr>
        <w:rFonts w:hint="default"/>
        <w:lang w:val="tr-TR" w:eastAsia="tr-TR" w:bidi="tr-TR"/>
      </w:rPr>
    </w:lvl>
    <w:lvl w:ilvl="8">
      <w:start w:val="0"/>
      <w:numFmt w:val="bullet"/>
      <w:lvlText w:val="•"/>
      <w:lvlJc w:val="left"/>
      <w:pPr>
        <w:ind w:left="8692" w:hanging="814"/>
      </w:pPr>
      <w:rPr>
        <w:rFonts w:hint="default"/>
        <w:lang w:val="tr-TR" w:eastAsia="tr-TR" w:bidi="tr-TR"/>
      </w:rPr>
    </w:lvl>
  </w:abstractNum>
  <w:abstractNum w:abstractNumId="40">
    <w:multiLevelType w:val="hybridMultilevel"/>
    <w:lvl w:ilvl="0">
      <w:start w:val="6"/>
      <w:numFmt w:val="lowerLetter"/>
      <w:lvlText w:val="(%1)"/>
      <w:lvlJc w:val="left"/>
      <w:pPr>
        <w:ind w:left="1024" w:hanging="251"/>
        <w:jc w:val="left"/>
      </w:pPr>
      <w:rPr>
        <w:rFonts w:hint="default" w:ascii="Arial" w:hAnsi="Arial" w:eastAsia="Arial" w:cs="Arial"/>
        <w:w w:val="99"/>
        <w:sz w:val="20"/>
        <w:szCs w:val="20"/>
        <w:lang w:val="tr-TR" w:eastAsia="tr-TR" w:bidi="tr-TR"/>
      </w:rPr>
    </w:lvl>
    <w:lvl w:ilvl="1">
      <w:start w:val="0"/>
      <w:numFmt w:val="bullet"/>
      <w:lvlText w:val="•"/>
      <w:lvlJc w:val="left"/>
      <w:pPr>
        <w:ind w:left="1988" w:hanging="251"/>
      </w:pPr>
      <w:rPr>
        <w:rFonts w:hint="default"/>
        <w:lang w:val="tr-TR" w:eastAsia="tr-TR" w:bidi="tr-TR"/>
      </w:rPr>
    </w:lvl>
    <w:lvl w:ilvl="2">
      <w:start w:val="0"/>
      <w:numFmt w:val="bullet"/>
      <w:lvlText w:val="•"/>
      <w:lvlJc w:val="left"/>
      <w:pPr>
        <w:ind w:left="2956" w:hanging="251"/>
      </w:pPr>
      <w:rPr>
        <w:rFonts w:hint="default"/>
        <w:lang w:val="tr-TR" w:eastAsia="tr-TR" w:bidi="tr-TR"/>
      </w:rPr>
    </w:lvl>
    <w:lvl w:ilvl="3">
      <w:start w:val="0"/>
      <w:numFmt w:val="bullet"/>
      <w:lvlText w:val="•"/>
      <w:lvlJc w:val="left"/>
      <w:pPr>
        <w:ind w:left="3924" w:hanging="251"/>
      </w:pPr>
      <w:rPr>
        <w:rFonts w:hint="default"/>
        <w:lang w:val="tr-TR" w:eastAsia="tr-TR" w:bidi="tr-TR"/>
      </w:rPr>
    </w:lvl>
    <w:lvl w:ilvl="4">
      <w:start w:val="0"/>
      <w:numFmt w:val="bullet"/>
      <w:lvlText w:val="•"/>
      <w:lvlJc w:val="left"/>
      <w:pPr>
        <w:ind w:left="4892" w:hanging="251"/>
      </w:pPr>
      <w:rPr>
        <w:rFonts w:hint="default"/>
        <w:lang w:val="tr-TR" w:eastAsia="tr-TR" w:bidi="tr-TR"/>
      </w:rPr>
    </w:lvl>
    <w:lvl w:ilvl="5">
      <w:start w:val="0"/>
      <w:numFmt w:val="bullet"/>
      <w:lvlText w:val="•"/>
      <w:lvlJc w:val="left"/>
      <w:pPr>
        <w:ind w:left="5860" w:hanging="251"/>
      </w:pPr>
      <w:rPr>
        <w:rFonts w:hint="default"/>
        <w:lang w:val="tr-TR" w:eastAsia="tr-TR" w:bidi="tr-TR"/>
      </w:rPr>
    </w:lvl>
    <w:lvl w:ilvl="6">
      <w:start w:val="0"/>
      <w:numFmt w:val="bullet"/>
      <w:lvlText w:val="•"/>
      <w:lvlJc w:val="left"/>
      <w:pPr>
        <w:ind w:left="6828" w:hanging="251"/>
      </w:pPr>
      <w:rPr>
        <w:rFonts w:hint="default"/>
        <w:lang w:val="tr-TR" w:eastAsia="tr-TR" w:bidi="tr-TR"/>
      </w:rPr>
    </w:lvl>
    <w:lvl w:ilvl="7">
      <w:start w:val="0"/>
      <w:numFmt w:val="bullet"/>
      <w:lvlText w:val="•"/>
      <w:lvlJc w:val="left"/>
      <w:pPr>
        <w:ind w:left="7796" w:hanging="251"/>
      </w:pPr>
      <w:rPr>
        <w:rFonts w:hint="default"/>
        <w:lang w:val="tr-TR" w:eastAsia="tr-TR" w:bidi="tr-TR"/>
      </w:rPr>
    </w:lvl>
    <w:lvl w:ilvl="8">
      <w:start w:val="0"/>
      <w:numFmt w:val="bullet"/>
      <w:lvlText w:val="•"/>
      <w:lvlJc w:val="left"/>
      <w:pPr>
        <w:ind w:left="8764" w:hanging="251"/>
      </w:pPr>
      <w:rPr>
        <w:rFonts w:hint="default"/>
        <w:lang w:val="tr-TR" w:eastAsia="tr-TR" w:bidi="tr-TR"/>
      </w:rPr>
    </w:lvl>
  </w:abstractNum>
  <w:abstractNum w:abstractNumId="39">
    <w:multiLevelType w:val="hybridMultilevel"/>
    <w:lvl w:ilvl="0">
      <w:start w:val="3"/>
      <w:numFmt w:val="lowerLetter"/>
      <w:lvlText w:val="(%1)"/>
      <w:lvlJc w:val="left"/>
      <w:pPr>
        <w:ind w:left="726" w:hanging="290"/>
        <w:jc w:val="left"/>
      </w:pPr>
      <w:rPr>
        <w:rFonts w:hint="default" w:ascii="Arial" w:hAnsi="Arial" w:eastAsia="Arial" w:cs="Arial"/>
        <w:w w:val="99"/>
        <w:sz w:val="20"/>
        <w:szCs w:val="20"/>
        <w:lang w:val="tr-TR" w:eastAsia="tr-TR" w:bidi="tr-TR"/>
      </w:rPr>
    </w:lvl>
    <w:lvl w:ilvl="1">
      <w:start w:val="0"/>
      <w:numFmt w:val="bullet"/>
      <w:lvlText w:val="•"/>
      <w:lvlJc w:val="left"/>
      <w:pPr>
        <w:ind w:left="1718" w:hanging="290"/>
      </w:pPr>
      <w:rPr>
        <w:rFonts w:hint="default"/>
        <w:lang w:val="tr-TR" w:eastAsia="tr-TR" w:bidi="tr-TR"/>
      </w:rPr>
    </w:lvl>
    <w:lvl w:ilvl="2">
      <w:start w:val="0"/>
      <w:numFmt w:val="bullet"/>
      <w:lvlText w:val="•"/>
      <w:lvlJc w:val="left"/>
      <w:pPr>
        <w:ind w:left="2716" w:hanging="290"/>
      </w:pPr>
      <w:rPr>
        <w:rFonts w:hint="default"/>
        <w:lang w:val="tr-TR" w:eastAsia="tr-TR" w:bidi="tr-TR"/>
      </w:rPr>
    </w:lvl>
    <w:lvl w:ilvl="3">
      <w:start w:val="0"/>
      <w:numFmt w:val="bullet"/>
      <w:lvlText w:val="•"/>
      <w:lvlJc w:val="left"/>
      <w:pPr>
        <w:ind w:left="3714" w:hanging="290"/>
      </w:pPr>
      <w:rPr>
        <w:rFonts w:hint="default"/>
        <w:lang w:val="tr-TR" w:eastAsia="tr-TR" w:bidi="tr-TR"/>
      </w:rPr>
    </w:lvl>
    <w:lvl w:ilvl="4">
      <w:start w:val="0"/>
      <w:numFmt w:val="bullet"/>
      <w:lvlText w:val="•"/>
      <w:lvlJc w:val="left"/>
      <w:pPr>
        <w:ind w:left="4712" w:hanging="290"/>
      </w:pPr>
      <w:rPr>
        <w:rFonts w:hint="default"/>
        <w:lang w:val="tr-TR" w:eastAsia="tr-TR" w:bidi="tr-TR"/>
      </w:rPr>
    </w:lvl>
    <w:lvl w:ilvl="5">
      <w:start w:val="0"/>
      <w:numFmt w:val="bullet"/>
      <w:lvlText w:val="•"/>
      <w:lvlJc w:val="left"/>
      <w:pPr>
        <w:ind w:left="5710" w:hanging="290"/>
      </w:pPr>
      <w:rPr>
        <w:rFonts w:hint="default"/>
        <w:lang w:val="tr-TR" w:eastAsia="tr-TR" w:bidi="tr-TR"/>
      </w:rPr>
    </w:lvl>
    <w:lvl w:ilvl="6">
      <w:start w:val="0"/>
      <w:numFmt w:val="bullet"/>
      <w:lvlText w:val="•"/>
      <w:lvlJc w:val="left"/>
      <w:pPr>
        <w:ind w:left="6708" w:hanging="290"/>
      </w:pPr>
      <w:rPr>
        <w:rFonts w:hint="default"/>
        <w:lang w:val="tr-TR" w:eastAsia="tr-TR" w:bidi="tr-TR"/>
      </w:rPr>
    </w:lvl>
    <w:lvl w:ilvl="7">
      <w:start w:val="0"/>
      <w:numFmt w:val="bullet"/>
      <w:lvlText w:val="•"/>
      <w:lvlJc w:val="left"/>
      <w:pPr>
        <w:ind w:left="7706" w:hanging="290"/>
      </w:pPr>
      <w:rPr>
        <w:rFonts w:hint="default"/>
        <w:lang w:val="tr-TR" w:eastAsia="tr-TR" w:bidi="tr-TR"/>
      </w:rPr>
    </w:lvl>
    <w:lvl w:ilvl="8">
      <w:start w:val="0"/>
      <w:numFmt w:val="bullet"/>
      <w:lvlText w:val="•"/>
      <w:lvlJc w:val="left"/>
      <w:pPr>
        <w:ind w:left="8704" w:hanging="290"/>
      </w:pPr>
      <w:rPr>
        <w:rFonts w:hint="default"/>
        <w:lang w:val="tr-TR" w:eastAsia="tr-TR" w:bidi="tr-TR"/>
      </w:rPr>
    </w:lvl>
  </w:abstractNum>
  <w:abstractNum w:abstractNumId="38">
    <w:multiLevelType w:val="hybridMultilevel"/>
    <w:lvl w:ilvl="0">
      <w:start w:val="1"/>
      <w:numFmt w:val="lowerLetter"/>
      <w:lvlText w:val="(%1)"/>
      <w:lvlJc w:val="left"/>
      <w:pPr>
        <w:ind w:left="1024" w:hanging="298"/>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298"/>
      </w:pPr>
      <w:rPr>
        <w:rFonts w:hint="default"/>
        <w:lang w:val="tr-TR" w:eastAsia="tr-TR" w:bidi="tr-TR"/>
      </w:rPr>
    </w:lvl>
    <w:lvl w:ilvl="2">
      <w:start w:val="0"/>
      <w:numFmt w:val="bullet"/>
      <w:lvlText w:val="•"/>
      <w:lvlJc w:val="left"/>
      <w:pPr>
        <w:ind w:left="2956" w:hanging="298"/>
      </w:pPr>
      <w:rPr>
        <w:rFonts w:hint="default"/>
        <w:lang w:val="tr-TR" w:eastAsia="tr-TR" w:bidi="tr-TR"/>
      </w:rPr>
    </w:lvl>
    <w:lvl w:ilvl="3">
      <w:start w:val="0"/>
      <w:numFmt w:val="bullet"/>
      <w:lvlText w:val="•"/>
      <w:lvlJc w:val="left"/>
      <w:pPr>
        <w:ind w:left="3924" w:hanging="298"/>
      </w:pPr>
      <w:rPr>
        <w:rFonts w:hint="default"/>
        <w:lang w:val="tr-TR" w:eastAsia="tr-TR" w:bidi="tr-TR"/>
      </w:rPr>
    </w:lvl>
    <w:lvl w:ilvl="4">
      <w:start w:val="0"/>
      <w:numFmt w:val="bullet"/>
      <w:lvlText w:val="•"/>
      <w:lvlJc w:val="left"/>
      <w:pPr>
        <w:ind w:left="4892" w:hanging="298"/>
      </w:pPr>
      <w:rPr>
        <w:rFonts w:hint="default"/>
        <w:lang w:val="tr-TR" w:eastAsia="tr-TR" w:bidi="tr-TR"/>
      </w:rPr>
    </w:lvl>
    <w:lvl w:ilvl="5">
      <w:start w:val="0"/>
      <w:numFmt w:val="bullet"/>
      <w:lvlText w:val="•"/>
      <w:lvlJc w:val="left"/>
      <w:pPr>
        <w:ind w:left="5860" w:hanging="298"/>
      </w:pPr>
      <w:rPr>
        <w:rFonts w:hint="default"/>
        <w:lang w:val="tr-TR" w:eastAsia="tr-TR" w:bidi="tr-TR"/>
      </w:rPr>
    </w:lvl>
    <w:lvl w:ilvl="6">
      <w:start w:val="0"/>
      <w:numFmt w:val="bullet"/>
      <w:lvlText w:val="•"/>
      <w:lvlJc w:val="left"/>
      <w:pPr>
        <w:ind w:left="6828" w:hanging="298"/>
      </w:pPr>
      <w:rPr>
        <w:rFonts w:hint="default"/>
        <w:lang w:val="tr-TR" w:eastAsia="tr-TR" w:bidi="tr-TR"/>
      </w:rPr>
    </w:lvl>
    <w:lvl w:ilvl="7">
      <w:start w:val="0"/>
      <w:numFmt w:val="bullet"/>
      <w:lvlText w:val="•"/>
      <w:lvlJc w:val="left"/>
      <w:pPr>
        <w:ind w:left="7796" w:hanging="298"/>
      </w:pPr>
      <w:rPr>
        <w:rFonts w:hint="default"/>
        <w:lang w:val="tr-TR" w:eastAsia="tr-TR" w:bidi="tr-TR"/>
      </w:rPr>
    </w:lvl>
    <w:lvl w:ilvl="8">
      <w:start w:val="0"/>
      <w:numFmt w:val="bullet"/>
      <w:lvlText w:val="•"/>
      <w:lvlJc w:val="left"/>
      <w:pPr>
        <w:ind w:left="8764" w:hanging="298"/>
      </w:pPr>
      <w:rPr>
        <w:rFonts w:hint="default"/>
        <w:lang w:val="tr-TR" w:eastAsia="tr-TR" w:bidi="tr-TR"/>
      </w:rPr>
    </w:lvl>
  </w:abstractNum>
  <w:abstractNum w:abstractNumId="37">
    <w:multiLevelType w:val="hybridMultilevel"/>
    <w:lvl w:ilvl="0">
      <w:start w:val="1"/>
      <w:numFmt w:val="lowerLetter"/>
      <w:lvlText w:val="(%1)"/>
      <w:lvlJc w:val="left"/>
      <w:pPr>
        <w:ind w:left="1022"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36">
    <w:multiLevelType w:val="hybridMultilevel"/>
    <w:lvl w:ilvl="0">
      <w:start w:val="1"/>
      <w:numFmt w:val="decimal"/>
      <w:lvlText w:val="%1."/>
      <w:lvlJc w:val="left"/>
      <w:pPr>
        <w:ind w:left="726" w:hanging="252"/>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52"/>
      </w:pPr>
      <w:rPr>
        <w:rFonts w:hint="default"/>
        <w:lang w:val="tr-TR" w:eastAsia="tr-TR" w:bidi="tr-TR"/>
      </w:rPr>
    </w:lvl>
    <w:lvl w:ilvl="2">
      <w:start w:val="0"/>
      <w:numFmt w:val="bullet"/>
      <w:lvlText w:val="•"/>
      <w:lvlJc w:val="left"/>
      <w:pPr>
        <w:ind w:left="2716" w:hanging="252"/>
      </w:pPr>
      <w:rPr>
        <w:rFonts w:hint="default"/>
        <w:lang w:val="tr-TR" w:eastAsia="tr-TR" w:bidi="tr-TR"/>
      </w:rPr>
    </w:lvl>
    <w:lvl w:ilvl="3">
      <w:start w:val="0"/>
      <w:numFmt w:val="bullet"/>
      <w:lvlText w:val="•"/>
      <w:lvlJc w:val="left"/>
      <w:pPr>
        <w:ind w:left="3714" w:hanging="252"/>
      </w:pPr>
      <w:rPr>
        <w:rFonts w:hint="default"/>
        <w:lang w:val="tr-TR" w:eastAsia="tr-TR" w:bidi="tr-TR"/>
      </w:rPr>
    </w:lvl>
    <w:lvl w:ilvl="4">
      <w:start w:val="0"/>
      <w:numFmt w:val="bullet"/>
      <w:lvlText w:val="•"/>
      <w:lvlJc w:val="left"/>
      <w:pPr>
        <w:ind w:left="4712" w:hanging="252"/>
      </w:pPr>
      <w:rPr>
        <w:rFonts w:hint="default"/>
        <w:lang w:val="tr-TR" w:eastAsia="tr-TR" w:bidi="tr-TR"/>
      </w:rPr>
    </w:lvl>
    <w:lvl w:ilvl="5">
      <w:start w:val="0"/>
      <w:numFmt w:val="bullet"/>
      <w:lvlText w:val="•"/>
      <w:lvlJc w:val="left"/>
      <w:pPr>
        <w:ind w:left="5710" w:hanging="252"/>
      </w:pPr>
      <w:rPr>
        <w:rFonts w:hint="default"/>
        <w:lang w:val="tr-TR" w:eastAsia="tr-TR" w:bidi="tr-TR"/>
      </w:rPr>
    </w:lvl>
    <w:lvl w:ilvl="6">
      <w:start w:val="0"/>
      <w:numFmt w:val="bullet"/>
      <w:lvlText w:val="•"/>
      <w:lvlJc w:val="left"/>
      <w:pPr>
        <w:ind w:left="6708" w:hanging="252"/>
      </w:pPr>
      <w:rPr>
        <w:rFonts w:hint="default"/>
        <w:lang w:val="tr-TR" w:eastAsia="tr-TR" w:bidi="tr-TR"/>
      </w:rPr>
    </w:lvl>
    <w:lvl w:ilvl="7">
      <w:start w:val="0"/>
      <w:numFmt w:val="bullet"/>
      <w:lvlText w:val="•"/>
      <w:lvlJc w:val="left"/>
      <w:pPr>
        <w:ind w:left="7706" w:hanging="252"/>
      </w:pPr>
      <w:rPr>
        <w:rFonts w:hint="default"/>
        <w:lang w:val="tr-TR" w:eastAsia="tr-TR" w:bidi="tr-TR"/>
      </w:rPr>
    </w:lvl>
    <w:lvl w:ilvl="8">
      <w:start w:val="0"/>
      <w:numFmt w:val="bullet"/>
      <w:lvlText w:val="•"/>
      <w:lvlJc w:val="left"/>
      <w:pPr>
        <w:ind w:left="8704" w:hanging="252"/>
      </w:pPr>
      <w:rPr>
        <w:rFonts w:hint="default"/>
        <w:lang w:val="tr-TR" w:eastAsia="tr-TR" w:bidi="tr-TR"/>
      </w:rPr>
    </w:lvl>
  </w:abstractNum>
  <w:abstractNum w:abstractNumId="35">
    <w:multiLevelType w:val="hybridMultilevel"/>
    <w:lvl w:ilvl="0">
      <w:start w:val="1"/>
      <w:numFmt w:val="decimal"/>
      <w:lvlText w:val="%1."/>
      <w:lvlJc w:val="left"/>
      <w:pPr>
        <w:ind w:left="726" w:hanging="262"/>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62"/>
      </w:pPr>
      <w:rPr>
        <w:rFonts w:hint="default"/>
        <w:lang w:val="tr-TR" w:eastAsia="tr-TR" w:bidi="tr-TR"/>
      </w:rPr>
    </w:lvl>
    <w:lvl w:ilvl="2">
      <w:start w:val="0"/>
      <w:numFmt w:val="bullet"/>
      <w:lvlText w:val="•"/>
      <w:lvlJc w:val="left"/>
      <w:pPr>
        <w:ind w:left="2716" w:hanging="262"/>
      </w:pPr>
      <w:rPr>
        <w:rFonts w:hint="default"/>
        <w:lang w:val="tr-TR" w:eastAsia="tr-TR" w:bidi="tr-TR"/>
      </w:rPr>
    </w:lvl>
    <w:lvl w:ilvl="3">
      <w:start w:val="0"/>
      <w:numFmt w:val="bullet"/>
      <w:lvlText w:val="•"/>
      <w:lvlJc w:val="left"/>
      <w:pPr>
        <w:ind w:left="3714" w:hanging="262"/>
      </w:pPr>
      <w:rPr>
        <w:rFonts w:hint="default"/>
        <w:lang w:val="tr-TR" w:eastAsia="tr-TR" w:bidi="tr-TR"/>
      </w:rPr>
    </w:lvl>
    <w:lvl w:ilvl="4">
      <w:start w:val="0"/>
      <w:numFmt w:val="bullet"/>
      <w:lvlText w:val="•"/>
      <w:lvlJc w:val="left"/>
      <w:pPr>
        <w:ind w:left="4712" w:hanging="262"/>
      </w:pPr>
      <w:rPr>
        <w:rFonts w:hint="default"/>
        <w:lang w:val="tr-TR" w:eastAsia="tr-TR" w:bidi="tr-TR"/>
      </w:rPr>
    </w:lvl>
    <w:lvl w:ilvl="5">
      <w:start w:val="0"/>
      <w:numFmt w:val="bullet"/>
      <w:lvlText w:val="•"/>
      <w:lvlJc w:val="left"/>
      <w:pPr>
        <w:ind w:left="5710" w:hanging="262"/>
      </w:pPr>
      <w:rPr>
        <w:rFonts w:hint="default"/>
        <w:lang w:val="tr-TR" w:eastAsia="tr-TR" w:bidi="tr-TR"/>
      </w:rPr>
    </w:lvl>
    <w:lvl w:ilvl="6">
      <w:start w:val="0"/>
      <w:numFmt w:val="bullet"/>
      <w:lvlText w:val="•"/>
      <w:lvlJc w:val="left"/>
      <w:pPr>
        <w:ind w:left="6708" w:hanging="262"/>
      </w:pPr>
      <w:rPr>
        <w:rFonts w:hint="default"/>
        <w:lang w:val="tr-TR" w:eastAsia="tr-TR" w:bidi="tr-TR"/>
      </w:rPr>
    </w:lvl>
    <w:lvl w:ilvl="7">
      <w:start w:val="0"/>
      <w:numFmt w:val="bullet"/>
      <w:lvlText w:val="•"/>
      <w:lvlJc w:val="left"/>
      <w:pPr>
        <w:ind w:left="7706" w:hanging="262"/>
      </w:pPr>
      <w:rPr>
        <w:rFonts w:hint="default"/>
        <w:lang w:val="tr-TR" w:eastAsia="tr-TR" w:bidi="tr-TR"/>
      </w:rPr>
    </w:lvl>
    <w:lvl w:ilvl="8">
      <w:start w:val="0"/>
      <w:numFmt w:val="bullet"/>
      <w:lvlText w:val="•"/>
      <w:lvlJc w:val="left"/>
      <w:pPr>
        <w:ind w:left="8704" w:hanging="262"/>
      </w:pPr>
      <w:rPr>
        <w:rFonts w:hint="default"/>
        <w:lang w:val="tr-TR" w:eastAsia="tr-TR" w:bidi="tr-TR"/>
      </w:rPr>
    </w:lvl>
  </w:abstractNum>
  <w:abstractNum w:abstractNumId="34">
    <w:multiLevelType w:val="hybridMultilevel"/>
    <w:lvl w:ilvl="0">
      <w:start w:val="1"/>
      <w:numFmt w:val="lowerLetter"/>
      <w:lvlText w:val="(%1)"/>
      <w:lvlJc w:val="left"/>
      <w:pPr>
        <w:ind w:left="1022"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33">
    <w:multiLevelType w:val="hybridMultilevel"/>
    <w:lvl w:ilvl="0">
      <w:start w:val="1"/>
      <w:numFmt w:val="decimal"/>
      <w:lvlText w:val="%1."/>
      <w:lvlJc w:val="left"/>
      <w:pPr>
        <w:ind w:left="726" w:hanging="238"/>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38"/>
      </w:pPr>
      <w:rPr>
        <w:rFonts w:hint="default"/>
        <w:lang w:val="tr-TR" w:eastAsia="tr-TR" w:bidi="tr-TR"/>
      </w:rPr>
    </w:lvl>
    <w:lvl w:ilvl="2">
      <w:start w:val="0"/>
      <w:numFmt w:val="bullet"/>
      <w:lvlText w:val="•"/>
      <w:lvlJc w:val="left"/>
      <w:pPr>
        <w:ind w:left="2716" w:hanging="238"/>
      </w:pPr>
      <w:rPr>
        <w:rFonts w:hint="default"/>
        <w:lang w:val="tr-TR" w:eastAsia="tr-TR" w:bidi="tr-TR"/>
      </w:rPr>
    </w:lvl>
    <w:lvl w:ilvl="3">
      <w:start w:val="0"/>
      <w:numFmt w:val="bullet"/>
      <w:lvlText w:val="•"/>
      <w:lvlJc w:val="left"/>
      <w:pPr>
        <w:ind w:left="3714" w:hanging="238"/>
      </w:pPr>
      <w:rPr>
        <w:rFonts w:hint="default"/>
        <w:lang w:val="tr-TR" w:eastAsia="tr-TR" w:bidi="tr-TR"/>
      </w:rPr>
    </w:lvl>
    <w:lvl w:ilvl="4">
      <w:start w:val="0"/>
      <w:numFmt w:val="bullet"/>
      <w:lvlText w:val="•"/>
      <w:lvlJc w:val="left"/>
      <w:pPr>
        <w:ind w:left="4712" w:hanging="238"/>
      </w:pPr>
      <w:rPr>
        <w:rFonts w:hint="default"/>
        <w:lang w:val="tr-TR" w:eastAsia="tr-TR" w:bidi="tr-TR"/>
      </w:rPr>
    </w:lvl>
    <w:lvl w:ilvl="5">
      <w:start w:val="0"/>
      <w:numFmt w:val="bullet"/>
      <w:lvlText w:val="•"/>
      <w:lvlJc w:val="left"/>
      <w:pPr>
        <w:ind w:left="5710" w:hanging="238"/>
      </w:pPr>
      <w:rPr>
        <w:rFonts w:hint="default"/>
        <w:lang w:val="tr-TR" w:eastAsia="tr-TR" w:bidi="tr-TR"/>
      </w:rPr>
    </w:lvl>
    <w:lvl w:ilvl="6">
      <w:start w:val="0"/>
      <w:numFmt w:val="bullet"/>
      <w:lvlText w:val="•"/>
      <w:lvlJc w:val="left"/>
      <w:pPr>
        <w:ind w:left="6708" w:hanging="238"/>
      </w:pPr>
      <w:rPr>
        <w:rFonts w:hint="default"/>
        <w:lang w:val="tr-TR" w:eastAsia="tr-TR" w:bidi="tr-TR"/>
      </w:rPr>
    </w:lvl>
    <w:lvl w:ilvl="7">
      <w:start w:val="0"/>
      <w:numFmt w:val="bullet"/>
      <w:lvlText w:val="•"/>
      <w:lvlJc w:val="left"/>
      <w:pPr>
        <w:ind w:left="7706" w:hanging="238"/>
      </w:pPr>
      <w:rPr>
        <w:rFonts w:hint="default"/>
        <w:lang w:val="tr-TR" w:eastAsia="tr-TR" w:bidi="tr-TR"/>
      </w:rPr>
    </w:lvl>
    <w:lvl w:ilvl="8">
      <w:start w:val="0"/>
      <w:numFmt w:val="bullet"/>
      <w:lvlText w:val="•"/>
      <w:lvlJc w:val="left"/>
      <w:pPr>
        <w:ind w:left="8704" w:hanging="238"/>
      </w:pPr>
      <w:rPr>
        <w:rFonts w:hint="default"/>
        <w:lang w:val="tr-TR" w:eastAsia="tr-TR" w:bidi="tr-TR"/>
      </w:rPr>
    </w:lvl>
  </w:abstractNum>
  <w:abstractNum w:abstractNumId="32">
    <w:multiLevelType w:val="hybridMultilevel"/>
    <w:lvl w:ilvl="0">
      <w:start w:val="1"/>
      <w:numFmt w:val="lowerLetter"/>
      <w:lvlText w:val="(%1)"/>
      <w:lvlJc w:val="left"/>
      <w:pPr>
        <w:ind w:left="1022" w:hanging="312"/>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12"/>
      </w:pPr>
      <w:rPr>
        <w:rFonts w:hint="default"/>
        <w:lang w:val="tr-TR" w:eastAsia="tr-TR" w:bidi="tr-TR"/>
      </w:rPr>
    </w:lvl>
    <w:lvl w:ilvl="2">
      <w:start w:val="0"/>
      <w:numFmt w:val="bullet"/>
      <w:lvlText w:val="•"/>
      <w:lvlJc w:val="left"/>
      <w:pPr>
        <w:ind w:left="2956" w:hanging="312"/>
      </w:pPr>
      <w:rPr>
        <w:rFonts w:hint="default"/>
        <w:lang w:val="tr-TR" w:eastAsia="tr-TR" w:bidi="tr-TR"/>
      </w:rPr>
    </w:lvl>
    <w:lvl w:ilvl="3">
      <w:start w:val="0"/>
      <w:numFmt w:val="bullet"/>
      <w:lvlText w:val="•"/>
      <w:lvlJc w:val="left"/>
      <w:pPr>
        <w:ind w:left="3924" w:hanging="312"/>
      </w:pPr>
      <w:rPr>
        <w:rFonts w:hint="default"/>
        <w:lang w:val="tr-TR" w:eastAsia="tr-TR" w:bidi="tr-TR"/>
      </w:rPr>
    </w:lvl>
    <w:lvl w:ilvl="4">
      <w:start w:val="0"/>
      <w:numFmt w:val="bullet"/>
      <w:lvlText w:val="•"/>
      <w:lvlJc w:val="left"/>
      <w:pPr>
        <w:ind w:left="4892" w:hanging="312"/>
      </w:pPr>
      <w:rPr>
        <w:rFonts w:hint="default"/>
        <w:lang w:val="tr-TR" w:eastAsia="tr-TR" w:bidi="tr-TR"/>
      </w:rPr>
    </w:lvl>
    <w:lvl w:ilvl="5">
      <w:start w:val="0"/>
      <w:numFmt w:val="bullet"/>
      <w:lvlText w:val="•"/>
      <w:lvlJc w:val="left"/>
      <w:pPr>
        <w:ind w:left="5860" w:hanging="312"/>
      </w:pPr>
      <w:rPr>
        <w:rFonts w:hint="default"/>
        <w:lang w:val="tr-TR" w:eastAsia="tr-TR" w:bidi="tr-TR"/>
      </w:rPr>
    </w:lvl>
    <w:lvl w:ilvl="6">
      <w:start w:val="0"/>
      <w:numFmt w:val="bullet"/>
      <w:lvlText w:val="•"/>
      <w:lvlJc w:val="left"/>
      <w:pPr>
        <w:ind w:left="6828" w:hanging="312"/>
      </w:pPr>
      <w:rPr>
        <w:rFonts w:hint="default"/>
        <w:lang w:val="tr-TR" w:eastAsia="tr-TR" w:bidi="tr-TR"/>
      </w:rPr>
    </w:lvl>
    <w:lvl w:ilvl="7">
      <w:start w:val="0"/>
      <w:numFmt w:val="bullet"/>
      <w:lvlText w:val="•"/>
      <w:lvlJc w:val="left"/>
      <w:pPr>
        <w:ind w:left="7796" w:hanging="312"/>
      </w:pPr>
      <w:rPr>
        <w:rFonts w:hint="default"/>
        <w:lang w:val="tr-TR" w:eastAsia="tr-TR" w:bidi="tr-TR"/>
      </w:rPr>
    </w:lvl>
    <w:lvl w:ilvl="8">
      <w:start w:val="0"/>
      <w:numFmt w:val="bullet"/>
      <w:lvlText w:val="•"/>
      <w:lvlJc w:val="left"/>
      <w:pPr>
        <w:ind w:left="8764" w:hanging="312"/>
      </w:pPr>
      <w:rPr>
        <w:rFonts w:hint="default"/>
        <w:lang w:val="tr-TR" w:eastAsia="tr-TR" w:bidi="tr-TR"/>
      </w:rPr>
    </w:lvl>
  </w:abstractNum>
  <w:abstractNum w:abstractNumId="31">
    <w:multiLevelType w:val="hybridMultilevel"/>
    <w:lvl w:ilvl="0">
      <w:start w:val="1"/>
      <w:numFmt w:val="decimal"/>
      <w:lvlText w:val="%1."/>
      <w:lvlJc w:val="left"/>
      <w:pPr>
        <w:ind w:left="726" w:hanging="252"/>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52"/>
      </w:pPr>
      <w:rPr>
        <w:rFonts w:hint="default"/>
        <w:lang w:val="tr-TR" w:eastAsia="tr-TR" w:bidi="tr-TR"/>
      </w:rPr>
    </w:lvl>
    <w:lvl w:ilvl="2">
      <w:start w:val="0"/>
      <w:numFmt w:val="bullet"/>
      <w:lvlText w:val="•"/>
      <w:lvlJc w:val="left"/>
      <w:pPr>
        <w:ind w:left="2716" w:hanging="252"/>
      </w:pPr>
      <w:rPr>
        <w:rFonts w:hint="default"/>
        <w:lang w:val="tr-TR" w:eastAsia="tr-TR" w:bidi="tr-TR"/>
      </w:rPr>
    </w:lvl>
    <w:lvl w:ilvl="3">
      <w:start w:val="0"/>
      <w:numFmt w:val="bullet"/>
      <w:lvlText w:val="•"/>
      <w:lvlJc w:val="left"/>
      <w:pPr>
        <w:ind w:left="3714" w:hanging="252"/>
      </w:pPr>
      <w:rPr>
        <w:rFonts w:hint="default"/>
        <w:lang w:val="tr-TR" w:eastAsia="tr-TR" w:bidi="tr-TR"/>
      </w:rPr>
    </w:lvl>
    <w:lvl w:ilvl="4">
      <w:start w:val="0"/>
      <w:numFmt w:val="bullet"/>
      <w:lvlText w:val="•"/>
      <w:lvlJc w:val="left"/>
      <w:pPr>
        <w:ind w:left="4712" w:hanging="252"/>
      </w:pPr>
      <w:rPr>
        <w:rFonts w:hint="default"/>
        <w:lang w:val="tr-TR" w:eastAsia="tr-TR" w:bidi="tr-TR"/>
      </w:rPr>
    </w:lvl>
    <w:lvl w:ilvl="5">
      <w:start w:val="0"/>
      <w:numFmt w:val="bullet"/>
      <w:lvlText w:val="•"/>
      <w:lvlJc w:val="left"/>
      <w:pPr>
        <w:ind w:left="5710" w:hanging="252"/>
      </w:pPr>
      <w:rPr>
        <w:rFonts w:hint="default"/>
        <w:lang w:val="tr-TR" w:eastAsia="tr-TR" w:bidi="tr-TR"/>
      </w:rPr>
    </w:lvl>
    <w:lvl w:ilvl="6">
      <w:start w:val="0"/>
      <w:numFmt w:val="bullet"/>
      <w:lvlText w:val="•"/>
      <w:lvlJc w:val="left"/>
      <w:pPr>
        <w:ind w:left="6708" w:hanging="252"/>
      </w:pPr>
      <w:rPr>
        <w:rFonts w:hint="default"/>
        <w:lang w:val="tr-TR" w:eastAsia="tr-TR" w:bidi="tr-TR"/>
      </w:rPr>
    </w:lvl>
    <w:lvl w:ilvl="7">
      <w:start w:val="0"/>
      <w:numFmt w:val="bullet"/>
      <w:lvlText w:val="•"/>
      <w:lvlJc w:val="left"/>
      <w:pPr>
        <w:ind w:left="7706" w:hanging="252"/>
      </w:pPr>
      <w:rPr>
        <w:rFonts w:hint="default"/>
        <w:lang w:val="tr-TR" w:eastAsia="tr-TR" w:bidi="tr-TR"/>
      </w:rPr>
    </w:lvl>
    <w:lvl w:ilvl="8">
      <w:start w:val="0"/>
      <w:numFmt w:val="bullet"/>
      <w:lvlText w:val="•"/>
      <w:lvlJc w:val="left"/>
      <w:pPr>
        <w:ind w:left="8704" w:hanging="252"/>
      </w:pPr>
      <w:rPr>
        <w:rFonts w:hint="default"/>
        <w:lang w:val="tr-TR" w:eastAsia="tr-TR" w:bidi="tr-TR"/>
      </w:rPr>
    </w:lvl>
  </w:abstractNum>
  <w:abstractNum w:abstractNumId="30">
    <w:multiLevelType w:val="hybridMultilevel"/>
    <w:lvl w:ilvl="0">
      <w:start w:val="1"/>
      <w:numFmt w:val="lowerLetter"/>
      <w:lvlText w:val="(%1)"/>
      <w:lvlJc w:val="left"/>
      <w:pPr>
        <w:ind w:left="1022"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29">
    <w:multiLevelType w:val="hybridMultilevel"/>
    <w:lvl w:ilvl="0">
      <w:start w:val="1"/>
      <w:numFmt w:val="lowerLetter"/>
      <w:lvlText w:val="(%1)"/>
      <w:lvlJc w:val="left"/>
      <w:pPr>
        <w:ind w:left="1022"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28">
    <w:multiLevelType w:val="hybridMultilevel"/>
    <w:lvl w:ilvl="0">
      <w:start w:val="1"/>
      <w:numFmt w:val="decimal"/>
      <w:lvlText w:val="%1."/>
      <w:lvlJc w:val="left"/>
      <w:pPr>
        <w:ind w:left="726" w:hanging="24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43"/>
      </w:pPr>
      <w:rPr>
        <w:rFonts w:hint="default"/>
        <w:lang w:val="tr-TR" w:eastAsia="tr-TR" w:bidi="tr-TR"/>
      </w:rPr>
    </w:lvl>
    <w:lvl w:ilvl="2">
      <w:start w:val="0"/>
      <w:numFmt w:val="bullet"/>
      <w:lvlText w:val="•"/>
      <w:lvlJc w:val="left"/>
      <w:pPr>
        <w:ind w:left="2716" w:hanging="243"/>
      </w:pPr>
      <w:rPr>
        <w:rFonts w:hint="default"/>
        <w:lang w:val="tr-TR" w:eastAsia="tr-TR" w:bidi="tr-TR"/>
      </w:rPr>
    </w:lvl>
    <w:lvl w:ilvl="3">
      <w:start w:val="0"/>
      <w:numFmt w:val="bullet"/>
      <w:lvlText w:val="•"/>
      <w:lvlJc w:val="left"/>
      <w:pPr>
        <w:ind w:left="3714" w:hanging="243"/>
      </w:pPr>
      <w:rPr>
        <w:rFonts w:hint="default"/>
        <w:lang w:val="tr-TR" w:eastAsia="tr-TR" w:bidi="tr-TR"/>
      </w:rPr>
    </w:lvl>
    <w:lvl w:ilvl="4">
      <w:start w:val="0"/>
      <w:numFmt w:val="bullet"/>
      <w:lvlText w:val="•"/>
      <w:lvlJc w:val="left"/>
      <w:pPr>
        <w:ind w:left="4712" w:hanging="243"/>
      </w:pPr>
      <w:rPr>
        <w:rFonts w:hint="default"/>
        <w:lang w:val="tr-TR" w:eastAsia="tr-TR" w:bidi="tr-TR"/>
      </w:rPr>
    </w:lvl>
    <w:lvl w:ilvl="5">
      <w:start w:val="0"/>
      <w:numFmt w:val="bullet"/>
      <w:lvlText w:val="•"/>
      <w:lvlJc w:val="left"/>
      <w:pPr>
        <w:ind w:left="5710" w:hanging="243"/>
      </w:pPr>
      <w:rPr>
        <w:rFonts w:hint="default"/>
        <w:lang w:val="tr-TR" w:eastAsia="tr-TR" w:bidi="tr-TR"/>
      </w:rPr>
    </w:lvl>
    <w:lvl w:ilvl="6">
      <w:start w:val="0"/>
      <w:numFmt w:val="bullet"/>
      <w:lvlText w:val="•"/>
      <w:lvlJc w:val="left"/>
      <w:pPr>
        <w:ind w:left="6708" w:hanging="243"/>
      </w:pPr>
      <w:rPr>
        <w:rFonts w:hint="default"/>
        <w:lang w:val="tr-TR" w:eastAsia="tr-TR" w:bidi="tr-TR"/>
      </w:rPr>
    </w:lvl>
    <w:lvl w:ilvl="7">
      <w:start w:val="0"/>
      <w:numFmt w:val="bullet"/>
      <w:lvlText w:val="•"/>
      <w:lvlJc w:val="left"/>
      <w:pPr>
        <w:ind w:left="7706" w:hanging="243"/>
      </w:pPr>
      <w:rPr>
        <w:rFonts w:hint="default"/>
        <w:lang w:val="tr-TR" w:eastAsia="tr-TR" w:bidi="tr-TR"/>
      </w:rPr>
    </w:lvl>
    <w:lvl w:ilvl="8">
      <w:start w:val="0"/>
      <w:numFmt w:val="bullet"/>
      <w:lvlText w:val="•"/>
      <w:lvlJc w:val="left"/>
      <w:pPr>
        <w:ind w:left="8704" w:hanging="243"/>
      </w:pPr>
      <w:rPr>
        <w:rFonts w:hint="default"/>
        <w:lang w:val="tr-TR" w:eastAsia="tr-TR" w:bidi="tr-TR"/>
      </w:rPr>
    </w:lvl>
  </w:abstractNum>
  <w:abstractNum w:abstractNumId="27">
    <w:multiLevelType w:val="hybridMultilevel"/>
    <w:lvl w:ilvl="0">
      <w:start w:val="1"/>
      <w:numFmt w:val="lowerLetter"/>
      <w:lvlText w:val="(%1)"/>
      <w:lvlJc w:val="left"/>
      <w:pPr>
        <w:ind w:left="1024"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26">
    <w:multiLevelType w:val="hybridMultilevel"/>
    <w:lvl w:ilvl="0">
      <w:start w:val="1"/>
      <w:numFmt w:val="decimal"/>
      <w:lvlText w:val="%1."/>
      <w:lvlJc w:val="left"/>
      <w:pPr>
        <w:ind w:left="726" w:hanging="24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43"/>
      </w:pPr>
      <w:rPr>
        <w:rFonts w:hint="default"/>
        <w:lang w:val="tr-TR" w:eastAsia="tr-TR" w:bidi="tr-TR"/>
      </w:rPr>
    </w:lvl>
    <w:lvl w:ilvl="2">
      <w:start w:val="0"/>
      <w:numFmt w:val="bullet"/>
      <w:lvlText w:val="•"/>
      <w:lvlJc w:val="left"/>
      <w:pPr>
        <w:ind w:left="2716" w:hanging="243"/>
      </w:pPr>
      <w:rPr>
        <w:rFonts w:hint="default"/>
        <w:lang w:val="tr-TR" w:eastAsia="tr-TR" w:bidi="tr-TR"/>
      </w:rPr>
    </w:lvl>
    <w:lvl w:ilvl="3">
      <w:start w:val="0"/>
      <w:numFmt w:val="bullet"/>
      <w:lvlText w:val="•"/>
      <w:lvlJc w:val="left"/>
      <w:pPr>
        <w:ind w:left="3714" w:hanging="243"/>
      </w:pPr>
      <w:rPr>
        <w:rFonts w:hint="default"/>
        <w:lang w:val="tr-TR" w:eastAsia="tr-TR" w:bidi="tr-TR"/>
      </w:rPr>
    </w:lvl>
    <w:lvl w:ilvl="4">
      <w:start w:val="0"/>
      <w:numFmt w:val="bullet"/>
      <w:lvlText w:val="•"/>
      <w:lvlJc w:val="left"/>
      <w:pPr>
        <w:ind w:left="4712" w:hanging="243"/>
      </w:pPr>
      <w:rPr>
        <w:rFonts w:hint="default"/>
        <w:lang w:val="tr-TR" w:eastAsia="tr-TR" w:bidi="tr-TR"/>
      </w:rPr>
    </w:lvl>
    <w:lvl w:ilvl="5">
      <w:start w:val="0"/>
      <w:numFmt w:val="bullet"/>
      <w:lvlText w:val="•"/>
      <w:lvlJc w:val="left"/>
      <w:pPr>
        <w:ind w:left="5710" w:hanging="243"/>
      </w:pPr>
      <w:rPr>
        <w:rFonts w:hint="default"/>
        <w:lang w:val="tr-TR" w:eastAsia="tr-TR" w:bidi="tr-TR"/>
      </w:rPr>
    </w:lvl>
    <w:lvl w:ilvl="6">
      <w:start w:val="0"/>
      <w:numFmt w:val="bullet"/>
      <w:lvlText w:val="•"/>
      <w:lvlJc w:val="left"/>
      <w:pPr>
        <w:ind w:left="6708" w:hanging="243"/>
      </w:pPr>
      <w:rPr>
        <w:rFonts w:hint="default"/>
        <w:lang w:val="tr-TR" w:eastAsia="tr-TR" w:bidi="tr-TR"/>
      </w:rPr>
    </w:lvl>
    <w:lvl w:ilvl="7">
      <w:start w:val="0"/>
      <w:numFmt w:val="bullet"/>
      <w:lvlText w:val="•"/>
      <w:lvlJc w:val="left"/>
      <w:pPr>
        <w:ind w:left="7706" w:hanging="243"/>
      </w:pPr>
      <w:rPr>
        <w:rFonts w:hint="default"/>
        <w:lang w:val="tr-TR" w:eastAsia="tr-TR" w:bidi="tr-TR"/>
      </w:rPr>
    </w:lvl>
    <w:lvl w:ilvl="8">
      <w:start w:val="0"/>
      <w:numFmt w:val="bullet"/>
      <w:lvlText w:val="•"/>
      <w:lvlJc w:val="left"/>
      <w:pPr>
        <w:ind w:left="8704" w:hanging="243"/>
      </w:pPr>
      <w:rPr>
        <w:rFonts w:hint="default"/>
        <w:lang w:val="tr-TR" w:eastAsia="tr-TR" w:bidi="tr-TR"/>
      </w:rPr>
    </w:lvl>
  </w:abstractNum>
  <w:abstractNum w:abstractNumId="25">
    <w:multiLevelType w:val="hybridMultilevel"/>
    <w:lvl w:ilvl="0">
      <w:start w:val="2"/>
      <w:numFmt w:val="lowerLetter"/>
      <w:lvlText w:val="(%1)"/>
      <w:lvlJc w:val="left"/>
      <w:pPr>
        <w:ind w:left="1022" w:hanging="348"/>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48"/>
      </w:pPr>
      <w:rPr>
        <w:rFonts w:hint="default"/>
        <w:lang w:val="tr-TR" w:eastAsia="tr-TR" w:bidi="tr-TR"/>
      </w:rPr>
    </w:lvl>
    <w:lvl w:ilvl="2">
      <w:start w:val="0"/>
      <w:numFmt w:val="bullet"/>
      <w:lvlText w:val="•"/>
      <w:lvlJc w:val="left"/>
      <w:pPr>
        <w:ind w:left="2956" w:hanging="348"/>
      </w:pPr>
      <w:rPr>
        <w:rFonts w:hint="default"/>
        <w:lang w:val="tr-TR" w:eastAsia="tr-TR" w:bidi="tr-TR"/>
      </w:rPr>
    </w:lvl>
    <w:lvl w:ilvl="3">
      <w:start w:val="0"/>
      <w:numFmt w:val="bullet"/>
      <w:lvlText w:val="•"/>
      <w:lvlJc w:val="left"/>
      <w:pPr>
        <w:ind w:left="3924" w:hanging="348"/>
      </w:pPr>
      <w:rPr>
        <w:rFonts w:hint="default"/>
        <w:lang w:val="tr-TR" w:eastAsia="tr-TR" w:bidi="tr-TR"/>
      </w:rPr>
    </w:lvl>
    <w:lvl w:ilvl="4">
      <w:start w:val="0"/>
      <w:numFmt w:val="bullet"/>
      <w:lvlText w:val="•"/>
      <w:lvlJc w:val="left"/>
      <w:pPr>
        <w:ind w:left="4892" w:hanging="348"/>
      </w:pPr>
      <w:rPr>
        <w:rFonts w:hint="default"/>
        <w:lang w:val="tr-TR" w:eastAsia="tr-TR" w:bidi="tr-TR"/>
      </w:rPr>
    </w:lvl>
    <w:lvl w:ilvl="5">
      <w:start w:val="0"/>
      <w:numFmt w:val="bullet"/>
      <w:lvlText w:val="•"/>
      <w:lvlJc w:val="left"/>
      <w:pPr>
        <w:ind w:left="5860" w:hanging="348"/>
      </w:pPr>
      <w:rPr>
        <w:rFonts w:hint="default"/>
        <w:lang w:val="tr-TR" w:eastAsia="tr-TR" w:bidi="tr-TR"/>
      </w:rPr>
    </w:lvl>
    <w:lvl w:ilvl="6">
      <w:start w:val="0"/>
      <w:numFmt w:val="bullet"/>
      <w:lvlText w:val="•"/>
      <w:lvlJc w:val="left"/>
      <w:pPr>
        <w:ind w:left="6828" w:hanging="348"/>
      </w:pPr>
      <w:rPr>
        <w:rFonts w:hint="default"/>
        <w:lang w:val="tr-TR" w:eastAsia="tr-TR" w:bidi="tr-TR"/>
      </w:rPr>
    </w:lvl>
    <w:lvl w:ilvl="7">
      <w:start w:val="0"/>
      <w:numFmt w:val="bullet"/>
      <w:lvlText w:val="•"/>
      <w:lvlJc w:val="left"/>
      <w:pPr>
        <w:ind w:left="7796" w:hanging="348"/>
      </w:pPr>
      <w:rPr>
        <w:rFonts w:hint="default"/>
        <w:lang w:val="tr-TR" w:eastAsia="tr-TR" w:bidi="tr-TR"/>
      </w:rPr>
    </w:lvl>
    <w:lvl w:ilvl="8">
      <w:start w:val="0"/>
      <w:numFmt w:val="bullet"/>
      <w:lvlText w:val="•"/>
      <w:lvlJc w:val="left"/>
      <w:pPr>
        <w:ind w:left="8764" w:hanging="348"/>
      </w:pPr>
      <w:rPr>
        <w:rFonts w:hint="default"/>
        <w:lang w:val="tr-TR" w:eastAsia="tr-TR" w:bidi="tr-TR"/>
      </w:rPr>
    </w:lvl>
  </w:abstractNum>
  <w:abstractNum w:abstractNumId="24">
    <w:multiLevelType w:val="hybridMultilevel"/>
    <w:lvl w:ilvl="0">
      <w:start w:val="1"/>
      <w:numFmt w:val="lowerLetter"/>
      <w:lvlText w:val="(%1)"/>
      <w:lvlJc w:val="left"/>
      <w:pPr>
        <w:ind w:left="1022" w:hanging="324"/>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24"/>
      </w:pPr>
      <w:rPr>
        <w:rFonts w:hint="default"/>
        <w:lang w:val="tr-TR" w:eastAsia="tr-TR" w:bidi="tr-TR"/>
      </w:rPr>
    </w:lvl>
    <w:lvl w:ilvl="2">
      <w:start w:val="0"/>
      <w:numFmt w:val="bullet"/>
      <w:lvlText w:val="•"/>
      <w:lvlJc w:val="left"/>
      <w:pPr>
        <w:ind w:left="2956" w:hanging="324"/>
      </w:pPr>
      <w:rPr>
        <w:rFonts w:hint="default"/>
        <w:lang w:val="tr-TR" w:eastAsia="tr-TR" w:bidi="tr-TR"/>
      </w:rPr>
    </w:lvl>
    <w:lvl w:ilvl="3">
      <w:start w:val="0"/>
      <w:numFmt w:val="bullet"/>
      <w:lvlText w:val="•"/>
      <w:lvlJc w:val="left"/>
      <w:pPr>
        <w:ind w:left="3924" w:hanging="324"/>
      </w:pPr>
      <w:rPr>
        <w:rFonts w:hint="default"/>
        <w:lang w:val="tr-TR" w:eastAsia="tr-TR" w:bidi="tr-TR"/>
      </w:rPr>
    </w:lvl>
    <w:lvl w:ilvl="4">
      <w:start w:val="0"/>
      <w:numFmt w:val="bullet"/>
      <w:lvlText w:val="•"/>
      <w:lvlJc w:val="left"/>
      <w:pPr>
        <w:ind w:left="4892" w:hanging="324"/>
      </w:pPr>
      <w:rPr>
        <w:rFonts w:hint="default"/>
        <w:lang w:val="tr-TR" w:eastAsia="tr-TR" w:bidi="tr-TR"/>
      </w:rPr>
    </w:lvl>
    <w:lvl w:ilvl="5">
      <w:start w:val="0"/>
      <w:numFmt w:val="bullet"/>
      <w:lvlText w:val="•"/>
      <w:lvlJc w:val="left"/>
      <w:pPr>
        <w:ind w:left="5860" w:hanging="324"/>
      </w:pPr>
      <w:rPr>
        <w:rFonts w:hint="default"/>
        <w:lang w:val="tr-TR" w:eastAsia="tr-TR" w:bidi="tr-TR"/>
      </w:rPr>
    </w:lvl>
    <w:lvl w:ilvl="6">
      <w:start w:val="0"/>
      <w:numFmt w:val="bullet"/>
      <w:lvlText w:val="•"/>
      <w:lvlJc w:val="left"/>
      <w:pPr>
        <w:ind w:left="6828" w:hanging="324"/>
      </w:pPr>
      <w:rPr>
        <w:rFonts w:hint="default"/>
        <w:lang w:val="tr-TR" w:eastAsia="tr-TR" w:bidi="tr-TR"/>
      </w:rPr>
    </w:lvl>
    <w:lvl w:ilvl="7">
      <w:start w:val="0"/>
      <w:numFmt w:val="bullet"/>
      <w:lvlText w:val="•"/>
      <w:lvlJc w:val="left"/>
      <w:pPr>
        <w:ind w:left="7796" w:hanging="324"/>
      </w:pPr>
      <w:rPr>
        <w:rFonts w:hint="default"/>
        <w:lang w:val="tr-TR" w:eastAsia="tr-TR" w:bidi="tr-TR"/>
      </w:rPr>
    </w:lvl>
    <w:lvl w:ilvl="8">
      <w:start w:val="0"/>
      <w:numFmt w:val="bullet"/>
      <w:lvlText w:val="•"/>
      <w:lvlJc w:val="left"/>
      <w:pPr>
        <w:ind w:left="8764" w:hanging="324"/>
      </w:pPr>
      <w:rPr>
        <w:rFonts w:hint="default"/>
        <w:lang w:val="tr-TR" w:eastAsia="tr-TR" w:bidi="tr-TR"/>
      </w:rPr>
    </w:lvl>
  </w:abstractNum>
  <w:abstractNum w:abstractNumId="23">
    <w:multiLevelType w:val="hybridMultilevel"/>
    <w:lvl w:ilvl="0">
      <w:start w:val="1"/>
      <w:numFmt w:val="lowerLetter"/>
      <w:lvlText w:val="(%1)"/>
      <w:lvlJc w:val="left"/>
      <w:pPr>
        <w:ind w:left="1022" w:hanging="329"/>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29"/>
      </w:pPr>
      <w:rPr>
        <w:rFonts w:hint="default"/>
        <w:lang w:val="tr-TR" w:eastAsia="tr-TR" w:bidi="tr-TR"/>
      </w:rPr>
    </w:lvl>
    <w:lvl w:ilvl="2">
      <w:start w:val="0"/>
      <w:numFmt w:val="bullet"/>
      <w:lvlText w:val="•"/>
      <w:lvlJc w:val="left"/>
      <w:pPr>
        <w:ind w:left="2956" w:hanging="329"/>
      </w:pPr>
      <w:rPr>
        <w:rFonts w:hint="default"/>
        <w:lang w:val="tr-TR" w:eastAsia="tr-TR" w:bidi="tr-TR"/>
      </w:rPr>
    </w:lvl>
    <w:lvl w:ilvl="3">
      <w:start w:val="0"/>
      <w:numFmt w:val="bullet"/>
      <w:lvlText w:val="•"/>
      <w:lvlJc w:val="left"/>
      <w:pPr>
        <w:ind w:left="3924" w:hanging="329"/>
      </w:pPr>
      <w:rPr>
        <w:rFonts w:hint="default"/>
        <w:lang w:val="tr-TR" w:eastAsia="tr-TR" w:bidi="tr-TR"/>
      </w:rPr>
    </w:lvl>
    <w:lvl w:ilvl="4">
      <w:start w:val="0"/>
      <w:numFmt w:val="bullet"/>
      <w:lvlText w:val="•"/>
      <w:lvlJc w:val="left"/>
      <w:pPr>
        <w:ind w:left="4892" w:hanging="329"/>
      </w:pPr>
      <w:rPr>
        <w:rFonts w:hint="default"/>
        <w:lang w:val="tr-TR" w:eastAsia="tr-TR" w:bidi="tr-TR"/>
      </w:rPr>
    </w:lvl>
    <w:lvl w:ilvl="5">
      <w:start w:val="0"/>
      <w:numFmt w:val="bullet"/>
      <w:lvlText w:val="•"/>
      <w:lvlJc w:val="left"/>
      <w:pPr>
        <w:ind w:left="5860" w:hanging="329"/>
      </w:pPr>
      <w:rPr>
        <w:rFonts w:hint="default"/>
        <w:lang w:val="tr-TR" w:eastAsia="tr-TR" w:bidi="tr-TR"/>
      </w:rPr>
    </w:lvl>
    <w:lvl w:ilvl="6">
      <w:start w:val="0"/>
      <w:numFmt w:val="bullet"/>
      <w:lvlText w:val="•"/>
      <w:lvlJc w:val="left"/>
      <w:pPr>
        <w:ind w:left="6828" w:hanging="329"/>
      </w:pPr>
      <w:rPr>
        <w:rFonts w:hint="default"/>
        <w:lang w:val="tr-TR" w:eastAsia="tr-TR" w:bidi="tr-TR"/>
      </w:rPr>
    </w:lvl>
    <w:lvl w:ilvl="7">
      <w:start w:val="0"/>
      <w:numFmt w:val="bullet"/>
      <w:lvlText w:val="•"/>
      <w:lvlJc w:val="left"/>
      <w:pPr>
        <w:ind w:left="7796" w:hanging="329"/>
      </w:pPr>
      <w:rPr>
        <w:rFonts w:hint="default"/>
        <w:lang w:val="tr-TR" w:eastAsia="tr-TR" w:bidi="tr-TR"/>
      </w:rPr>
    </w:lvl>
    <w:lvl w:ilvl="8">
      <w:start w:val="0"/>
      <w:numFmt w:val="bullet"/>
      <w:lvlText w:val="•"/>
      <w:lvlJc w:val="left"/>
      <w:pPr>
        <w:ind w:left="8764" w:hanging="329"/>
      </w:pPr>
      <w:rPr>
        <w:rFonts w:hint="default"/>
        <w:lang w:val="tr-TR" w:eastAsia="tr-TR" w:bidi="tr-TR"/>
      </w:rPr>
    </w:lvl>
  </w:abstractNum>
  <w:abstractNum w:abstractNumId="22">
    <w:multiLevelType w:val="hybridMultilevel"/>
    <w:lvl w:ilvl="0">
      <w:start w:val="5"/>
      <w:numFmt w:val="lowerLetter"/>
      <w:lvlText w:val="(%1)"/>
      <w:lvlJc w:val="left"/>
      <w:pPr>
        <w:ind w:left="1022"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21">
    <w:multiLevelType w:val="hybridMultilevel"/>
    <w:lvl w:ilvl="0">
      <w:start w:val="1"/>
      <w:numFmt w:val="decimal"/>
      <w:lvlText w:val="%1."/>
      <w:lvlJc w:val="left"/>
      <w:pPr>
        <w:ind w:left="726" w:hanging="269"/>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69"/>
      </w:pPr>
      <w:rPr>
        <w:rFonts w:hint="default"/>
        <w:lang w:val="tr-TR" w:eastAsia="tr-TR" w:bidi="tr-TR"/>
      </w:rPr>
    </w:lvl>
    <w:lvl w:ilvl="2">
      <w:start w:val="0"/>
      <w:numFmt w:val="bullet"/>
      <w:lvlText w:val="•"/>
      <w:lvlJc w:val="left"/>
      <w:pPr>
        <w:ind w:left="2716" w:hanging="269"/>
      </w:pPr>
      <w:rPr>
        <w:rFonts w:hint="default"/>
        <w:lang w:val="tr-TR" w:eastAsia="tr-TR" w:bidi="tr-TR"/>
      </w:rPr>
    </w:lvl>
    <w:lvl w:ilvl="3">
      <w:start w:val="0"/>
      <w:numFmt w:val="bullet"/>
      <w:lvlText w:val="•"/>
      <w:lvlJc w:val="left"/>
      <w:pPr>
        <w:ind w:left="3714" w:hanging="269"/>
      </w:pPr>
      <w:rPr>
        <w:rFonts w:hint="default"/>
        <w:lang w:val="tr-TR" w:eastAsia="tr-TR" w:bidi="tr-TR"/>
      </w:rPr>
    </w:lvl>
    <w:lvl w:ilvl="4">
      <w:start w:val="0"/>
      <w:numFmt w:val="bullet"/>
      <w:lvlText w:val="•"/>
      <w:lvlJc w:val="left"/>
      <w:pPr>
        <w:ind w:left="4712" w:hanging="269"/>
      </w:pPr>
      <w:rPr>
        <w:rFonts w:hint="default"/>
        <w:lang w:val="tr-TR" w:eastAsia="tr-TR" w:bidi="tr-TR"/>
      </w:rPr>
    </w:lvl>
    <w:lvl w:ilvl="5">
      <w:start w:val="0"/>
      <w:numFmt w:val="bullet"/>
      <w:lvlText w:val="•"/>
      <w:lvlJc w:val="left"/>
      <w:pPr>
        <w:ind w:left="5710" w:hanging="269"/>
      </w:pPr>
      <w:rPr>
        <w:rFonts w:hint="default"/>
        <w:lang w:val="tr-TR" w:eastAsia="tr-TR" w:bidi="tr-TR"/>
      </w:rPr>
    </w:lvl>
    <w:lvl w:ilvl="6">
      <w:start w:val="0"/>
      <w:numFmt w:val="bullet"/>
      <w:lvlText w:val="•"/>
      <w:lvlJc w:val="left"/>
      <w:pPr>
        <w:ind w:left="6708" w:hanging="269"/>
      </w:pPr>
      <w:rPr>
        <w:rFonts w:hint="default"/>
        <w:lang w:val="tr-TR" w:eastAsia="tr-TR" w:bidi="tr-TR"/>
      </w:rPr>
    </w:lvl>
    <w:lvl w:ilvl="7">
      <w:start w:val="0"/>
      <w:numFmt w:val="bullet"/>
      <w:lvlText w:val="•"/>
      <w:lvlJc w:val="left"/>
      <w:pPr>
        <w:ind w:left="7706" w:hanging="269"/>
      </w:pPr>
      <w:rPr>
        <w:rFonts w:hint="default"/>
        <w:lang w:val="tr-TR" w:eastAsia="tr-TR" w:bidi="tr-TR"/>
      </w:rPr>
    </w:lvl>
    <w:lvl w:ilvl="8">
      <w:start w:val="0"/>
      <w:numFmt w:val="bullet"/>
      <w:lvlText w:val="•"/>
      <w:lvlJc w:val="left"/>
      <w:pPr>
        <w:ind w:left="8704" w:hanging="269"/>
      </w:pPr>
      <w:rPr>
        <w:rFonts w:hint="default"/>
        <w:lang w:val="tr-TR" w:eastAsia="tr-TR" w:bidi="tr-TR"/>
      </w:rPr>
    </w:lvl>
  </w:abstractNum>
  <w:abstractNum w:abstractNumId="20">
    <w:multiLevelType w:val="hybridMultilevel"/>
    <w:lvl w:ilvl="0">
      <w:start w:val="1"/>
      <w:numFmt w:val="lowerLetter"/>
      <w:lvlText w:val="(%1)"/>
      <w:lvlJc w:val="left"/>
      <w:pPr>
        <w:ind w:left="1022" w:hanging="329"/>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29"/>
      </w:pPr>
      <w:rPr>
        <w:rFonts w:hint="default"/>
        <w:lang w:val="tr-TR" w:eastAsia="tr-TR" w:bidi="tr-TR"/>
      </w:rPr>
    </w:lvl>
    <w:lvl w:ilvl="2">
      <w:start w:val="0"/>
      <w:numFmt w:val="bullet"/>
      <w:lvlText w:val="•"/>
      <w:lvlJc w:val="left"/>
      <w:pPr>
        <w:ind w:left="2956" w:hanging="329"/>
      </w:pPr>
      <w:rPr>
        <w:rFonts w:hint="default"/>
        <w:lang w:val="tr-TR" w:eastAsia="tr-TR" w:bidi="tr-TR"/>
      </w:rPr>
    </w:lvl>
    <w:lvl w:ilvl="3">
      <w:start w:val="0"/>
      <w:numFmt w:val="bullet"/>
      <w:lvlText w:val="•"/>
      <w:lvlJc w:val="left"/>
      <w:pPr>
        <w:ind w:left="3924" w:hanging="329"/>
      </w:pPr>
      <w:rPr>
        <w:rFonts w:hint="default"/>
        <w:lang w:val="tr-TR" w:eastAsia="tr-TR" w:bidi="tr-TR"/>
      </w:rPr>
    </w:lvl>
    <w:lvl w:ilvl="4">
      <w:start w:val="0"/>
      <w:numFmt w:val="bullet"/>
      <w:lvlText w:val="•"/>
      <w:lvlJc w:val="left"/>
      <w:pPr>
        <w:ind w:left="4892" w:hanging="329"/>
      </w:pPr>
      <w:rPr>
        <w:rFonts w:hint="default"/>
        <w:lang w:val="tr-TR" w:eastAsia="tr-TR" w:bidi="tr-TR"/>
      </w:rPr>
    </w:lvl>
    <w:lvl w:ilvl="5">
      <w:start w:val="0"/>
      <w:numFmt w:val="bullet"/>
      <w:lvlText w:val="•"/>
      <w:lvlJc w:val="left"/>
      <w:pPr>
        <w:ind w:left="5860" w:hanging="329"/>
      </w:pPr>
      <w:rPr>
        <w:rFonts w:hint="default"/>
        <w:lang w:val="tr-TR" w:eastAsia="tr-TR" w:bidi="tr-TR"/>
      </w:rPr>
    </w:lvl>
    <w:lvl w:ilvl="6">
      <w:start w:val="0"/>
      <w:numFmt w:val="bullet"/>
      <w:lvlText w:val="•"/>
      <w:lvlJc w:val="left"/>
      <w:pPr>
        <w:ind w:left="6828" w:hanging="329"/>
      </w:pPr>
      <w:rPr>
        <w:rFonts w:hint="default"/>
        <w:lang w:val="tr-TR" w:eastAsia="tr-TR" w:bidi="tr-TR"/>
      </w:rPr>
    </w:lvl>
    <w:lvl w:ilvl="7">
      <w:start w:val="0"/>
      <w:numFmt w:val="bullet"/>
      <w:lvlText w:val="•"/>
      <w:lvlJc w:val="left"/>
      <w:pPr>
        <w:ind w:left="7796" w:hanging="329"/>
      </w:pPr>
      <w:rPr>
        <w:rFonts w:hint="default"/>
        <w:lang w:val="tr-TR" w:eastAsia="tr-TR" w:bidi="tr-TR"/>
      </w:rPr>
    </w:lvl>
    <w:lvl w:ilvl="8">
      <w:start w:val="0"/>
      <w:numFmt w:val="bullet"/>
      <w:lvlText w:val="•"/>
      <w:lvlJc w:val="left"/>
      <w:pPr>
        <w:ind w:left="8764" w:hanging="329"/>
      </w:pPr>
      <w:rPr>
        <w:rFonts w:hint="default"/>
        <w:lang w:val="tr-TR" w:eastAsia="tr-TR" w:bidi="tr-TR"/>
      </w:rPr>
    </w:lvl>
  </w:abstractNum>
  <w:abstractNum w:abstractNumId="19">
    <w:multiLevelType w:val="hybridMultilevel"/>
    <w:lvl w:ilvl="0">
      <w:start w:val="1"/>
      <w:numFmt w:val="lowerLetter"/>
      <w:lvlText w:val="(%1)"/>
      <w:lvlJc w:val="left"/>
      <w:pPr>
        <w:ind w:left="1022" w:hanging="814"/>
        <w:jc w:val="left"/>
      </w:pPr>
      <w:rPr>
        <w:rFonts w:hint="default" w:ascii="Arial" w:hAnsi="Arial" w:eastAsia="Arial" w:cs="Arial"/>
        <w:w w:val="99"/>
        <w:sz w:val="20"/>
        <w:szCs w:val="20"/>
        <w:lang w:val="tr-TR" w:eastAsia="tr-TR" w:bidi="tr-TR"/>
      </w:rPr>
    </w:lvl>
    <w:lvl w:ilvl="1">
      <w:start w:val="0"/>
      <w:numFmt w:val="bullet"/>
      <w:lvlText w:val="•"/>
      <w:lvlJc w:val="left"/>
      <w:pPr>
        <w:ind w:left="1988" w:hanging="814"/>
      </w:pPr>
      <w:rPr>
        <w:rFonts w:hint="default"/>
        <w:lang w:val="tr-TR" w:eastAsia="tr-TR" w:bidi="tr-TR"/>
      </w:rPr>
    </w:lvl>
    <w:lvl w:ilvl="2">
      <w:start w:val="0"/>
      <w:numFmt w:val="bullet"/>
      <w:lvlText w:val="•"/>
      <w:lvlJc w:val="left"/>
      <w:pPr>
        <w:ind w:left="2956" w:hanging="814"/>
      </w:pPr>
      <w:rPr>
        <w:rFonts w:hint="default"/>
        <w:lang w:val="tr-TR" w:eastAsia="tr-TR" w:bidi="tr-TR"/>
      </w:rPr>
    </w:lvl>
    <w:lvl w:ilvl="3">
      <w:start w:val="0"/>
      <w:numFmt w:val="bullet"/>
      <w:lvlText w:val="•"/>
      <w:lvlJc w:val="left"/>
      <w:pPr>
        <w:ind w:left="3924" w:hanging="814"/>
      </w:pPr>
      <w:rPr>
        <w:rFonts w:hint="default"/>
        <w:lang w:val="tr-TR" w:eastAsia="tr-TR" w:bidi="tr-TR"/>
      </w:rPr>
    </w:lvl>
    <w:lvl w:ilvl="4">
      <w:start w:val="0"/>
      <w:numFmt w:val="bullet"/>
      <w:lvlText w:val="•"/>
      <w:lvlJc w:val="left"/>
      <w:pPr>
        <w:ind w:left="4892" w:hanging="814"/>
      </w:pPr>
      <w:rPr>
        <w:rFonts w:hint="default"/>
        <w:lang w:val="tr-TR" w:eastAsia="tr-TR" w:bidi="tr-TR"/>
      </w:rPr>
    </w:lvl>
    <w:lvl w:ilvl="5">
      <w:start w:val="0"/>
      <w:numFmt w:val="bullet"/>
      <w:lvlText w:val="•"/>
      <w:lvlJc w:val="left"/>
      <w:pPr>
        <w:ind w:left="5860" w:hanging="814"/>
      </w:pPr>
      <w:rPr>
        <w:rFonts w:hint="default"/>
        <w:lang w:val="tr-TR" w:eastAsia="tr-TR" w:bidi="tr-TR"/>
      </w:rPr>
    </w:lvl>
    <w:lvl w:ilvl="6">
      <w:start w:val="0"/>
      <w:numFmt w:val="bullet"/>
      <w:lvlText w:val="•"/>
      <w:lvlJc w:val="left"/>
      <w:pPr>
        <w:ind w:left="6828" w:hanging="814"/>
      </w:pPr>
      <w:rPr>
        <w:rFonts w:hint="default"/>
        <w:lang w:val="tr-TR" w:eastAsia="tr-TR" w:bidi="tr-TR"/>
      </w:rPr>
    </w:lvl>
    <w:lvl w:ilvl="7">
      <w:start w:val="0"/>
      <w:numFmt w:val="bullet"/>
      <w:lvlText w:val="•"/>
      <w:lvlJc w:val="left"/>
      <w:pPr>
        <w:ind w:left="7796" w:hanging="814"/>
      </w:pPr>
      <w:rPr>
        <w:rFonts w:hint="default"/>
        <w:lang w:val="tr-TR" w:eastAsia="tr-TR" w:bidi="tr-TR"/>
      </w:rPr>
    </w:lvl>
    <w:lvl w:ilvl="8">
      <w:start w:val="0"/>
      <w:numFmt w:val="bullet"/>
      <w:lvlText w:val="•"/>
      <w:lvlJc w:val="left"/>
      <w:pPr>
        <w:ind w:left="8764" w:hanging="814"/>
      </w:pPr>
      <w:rPr>
        <w:rFonts w:hint="default"/>
        <w:lang w:val="tr-TR" w:eastAsia="tr-TR" w:bidi="tr-TR"/>
      </w:rPr>
    </w:lvl>
  </w:abstractNum>
  <w:abstractNum w:abstractNumId="18">
    <w:multiLevelType w:val="hybridMultilevel"/>
    <w:lvl w:ilvl="0">
      <w:start w:val="1"/>
      <w:numFmt w:val="decimal"/>
      <w:lvlText w:val="%1."/>
      <w:lvlJc w:val="left"/>
      <w:pPr>
        <w:ind w:left="726" w:hanging="41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413"/>
      </w:pPr>
      <w:rPr>
        <w:rFonts w:hint="default"/>
        <w:lang w:val="tr-TR" w:eastAsia="tr-TR" w:bidi="tr-TR"/>
      </w:rPr>
    </w:lvl>
    <w:lvl w:ilvl="2">
      <w:start w:val="0"/>
      <w:numFmt w:val="bullet"/>
      <w:lvlText w:val="•"/>
      <w:lvlJc w:val="left"/>
      <w:pPr>
        <w:ind w:left="2716" w:hanging="413"/>
      </w:pPr>
      <w:rPr>
        <w:rFonts w:hint="default"/>
        <w:lang w:val="tr-TR" w:eastAsia="tr-TR" w:bidi="tr-TR"/>
      </w:rPr>
    </w:lvl>
    <w:lvl w:ilvl="3">
      <w:start w:val="0"/>
      <w:numFmt w:val="bullet"/>
      <w:lvlText w:val="•"/>
      <w:lvlJc w:val="left"/>
      <w:pPr>
        <w:ind w:left="3714" w:hanging="413"/>
      </w:pPr>
      <w:rPr>
        <w:rFonts w:hint="default"/>
        <w:lang w:val="tr-TR" w:eastAsia="tr-TR" w:bidi="tr-TR"/>
      </w:rPr>
    </w:lvl>
    <w:lvl w:ilvl="4">
      <w:start w:val="0"/>
      <w:numFmt w:val="bullet"/>
      <w:lvlText w:val="•"/>
      <w:lvlJc w:val="left"/>
      <w:pPr>
        <w:ind w:left="4712" w:hanging="413"/>
      </w:pPr>
      <w:rPr>
        <w:rFonts w:hint="default"/>
        <w:lang w:val="tr-TR" w:eastAsia="tr-TR" w:bidi="tr-TR"/>
      </w:rPr>
    </w:lvl>
    <w:lvl w:ilvl="5">
      <w:start w:val="0"/>
      <w:numFmt w:val="bullet"/>
      <w:lvlText w:val="•"/>
      <w:lvlJc w:val="left"/>
      <w:pPr>
        <w:ind w:left="5710" w:hanging="413"/>
      </w:pPr>
      <w:rPr>
        <w:rFonts w:hint="default"/>
        <w:lang w:val="tr-TR" w:eastAsia="tr-TR" w:bidi="tr-TR"/>
      </w:rPr>
    </w:lvl>
    <w:lvl w:ilvl="6">
      <w:start w:val="0"/>
      <w:numFmt w:val="bullet"/>
      <w:lvlText w:val="•"/>
      <w:lvlJc w:val="left"/>
      <w:pPr>
        <w:ind w:left="6708" w:hanging="413"/>
      </w:pPr>
      <w:rPr>
        <w:rFonts w:hint="default"/>
        <w:lang w:val="tr-TR" w:eastAsia="tr-TR" w:bidi="tr-TR"/>
      </w:rPr>
    </w:lvl>
    <w:lvl w:ilvl="7">
      <w:start w:val="0"/>
      <w:numFmt w:val="bullet"/>
      <w:lvlText w:val="•"/>
      <w:lvlJc w:val="left"/>
      <w:pPr>
        <w:ind w:left="7706" w:hanging="413"/>
      </w:pPr>
      <w:rPr>
        <w:rFonts w:hint="default"/>
        <w:lang w:val="tr-TR" w:eastAsia="tr-TR" w:bidi="tr-TR"/>
      </w:rPr>
    </w:lvl>
    <w:lvl w:ilvl="8">
      <w:start w:val="0"/>
      <w:numFmt w:val="bullet"/>
      <w:lvlText w:val="•"/>
      <w:lvlJc w:val="left"/>
      <w:pPr>
        <w:ind w:left="8704" w:hanging="413"/>
      </w:pPr>
      <w:rPr>
        <w:rFonts w:hint="default"/>
        <w:lang w:val="tr-TR" w:eastAsia="tr-TR" w:bidi="tr-TR"/>
      </w:rPr>
    </w:lvl>
  </w:abstractNum>
  <w:abstractNum w:abstractNumId="17">
    <w:multiLevelType w:val="hybridMultilevel"/>
    <w:lvl w:ilvl="0">
      <w:start w:val="1"/>
      <w:numFmt w:val="lowerLetter"/>
      <w:lvlText w:val="(%1)"/>
      <w:lvlJc w:val="left"/>
      <w:pPr>
        <w:ind w:left="1022" w:hanging="30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16">
    <w:multiLevelType w:val="hybridMultilevel"/>
    <w:lvl w:ilvl="0">
      <w:start w:val="1"/>
      <w:numFmt w:val="decimal"/>
      <w:lvlText w:val="%1."/>
      <w:lvlJc w:val="left"/>
      <w:pPr>
        <w:ind w:left="726" w:hanging="41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413"/>
      </w:pPr>
      <w:rPr>
        <w:rFonts w:hint="default"/>
        <w:lang w:val="tr-TR" w:eastAsia="tr-TR" w:bidi="tr-TR"/>
      </w:rPr>
    </w:lvl>
    <w:lvl w:ilvl="2">
      <w:start w:val="0"/>
      <w:numFmt w:val="bullet"/>
      <w:lvlText w:val="•"/>
      <w:lvlJc w:val="left"/>
      <w:pPr>
        <w:ind w:left="2716" w:hanging="413"/>
      </w:pPr>
      <w:rPr>
        <w:rFonts w:hint="default"/>
        <w:lang w:val="tr-TR" w:eastAsia="tr-TR" w:bidi="tr-TR"/>
      </w:rPr>
    </w:lvl>
    <w:lvl w:ilvl="3">
      <w:start w:val="0"/>
      <w:numFmt w:val="bullet"/>
      <w:lvlText w:val="•"/>
      <w:lvlJc w:val="left"/>
      <w:pPr>
        <w:ind w:left="3714" w:hanging="413"/>
      </w:pPr>
      <w:rPr>
        <w:rFonts w:hint="default"/>
        <w:lang w:val="tr-TR" w:eastAsia="tr-TR" w:bidi="tr-TR"/>
      </w:rPr>
    </w:lvl>
    <w:lvl w:ilvl="4">
      <w:start w:val="0"/>
      <w:numFmt w:val="bullet"/>
      <w:lvlText w:val="•"/>
      <w:lvlJc w:val="left"/>
      <w:pPr>
        <w:ind w:left="4712" w:hanging="413"/>
      </w:pPr>
      <w:rPr>
        <w:rFonts w:hint="default"/>
        <w:lang w:val="tr-TR" w:eastAsia="tr-TR" w:bidi="tr-TR"/>
      </w:rPr>
    </w:lvl>
    <w:lvl w:ilvl="5">
      <w:start w:val="0"/>
      <w:numFmt w:val="bullet"/>
      <w:lvlText w:val="•"/>
      <w:lvlJc w:val="left"/>
      <w:pPr>
        <w:ind w:left="5710" w:hanging="413"/>
      </w:pPr>
      <w:rPr>
        <w:rFonts w:hint="default"/>
        <w:lang w:val="tr-TR" w:eastAsia="tr-TR" w:bidi="tr-TR"/>
      </w:rPr>
    </w:lvl>
    <w:lvl w:ilvl="6">
      <w:start w:val="0"/>
      <w:numFmt w:val="bullet"/>
      <w:lvlText w:val="•"/>
      <w:lvlJc w:val="left"/>
      <w:pPr>
        <w:ind w:left="6708" w:hanging="413"/>
      </w:pPr>
      <w:rPr>
        <w:rFonts w:hint="default"/>
        <w:lang w:val="tr-TR" w:eastAsia="tr-TR" w:bidi="tr-TR"/>
      </w:rPr>
    </w:lvl>
    <w:lvl w:ilvl="7">
      <w:start w:val="0"/>
      <w:numFmt w:val="bullet"/>
      <w:lvlText w:val="•"/>
      <w:lvlJc w:val="left"/>
      <w:pPr>
        <w:ind w:left="7706" w:hanging="413"/>
      </w:pPr>
      <w:rPr>
        <w:rFonts w:hint="default"/>
        <w:lang w:val="tr-TR" w:eastAsia="tr-TR" w:bidi="tr-TR"/>
      </w:rPr>
    </w:lvl>
    <w:lvl w:ilvl="8">
      <w:start w:val="0"/>
      <w:numFmt w:val="bullet"/>
      <w:lvlText w:val="•"/>
      <w:lvlJc w:val="left"/>
      <w:pPr>
        <w:ind w:left="8704" w:hanging="413"/>
      </w:pPr>
      <w:rPr>
        <w:rFonts w:hint="default"/>
        <w:lang w:val="tr-TR" w:eastAsia="tr-TR" w:bidi="tr-TR"/>
      </w:rPr>
    </w:lvl>
  </w:abstractNum>
  <w:abstractNum w:abstractNumId="15">
    <w:multiLevelType w:val="hybridMultilevel"/>
    <w:lvl w:ilvl="0">
      <w:start w:val="1"/>
      <w:numFmt w:val="decimal"/>
      <w:lvlText w:val="%1."/>
      <w:lvlJc w:val="left"/>
      <w:pPr>
        <w:ind w:left="726" w:hanging="240"/>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40"/>
      </w:pPr>
      <w:rPr>
        <w:rFonts w:hint="default"/>
        <w:lang w:val="tr-TR" w:eastAsia="tr-TR" w:bidi="tr-TR"/>
      </w:rPr>
    </w:lvl>
    <w:lvl w:ilvl="2">
      <w:start w:val="0"/>
      <w:numFmt w:val="bullet"/>
      <w:lvlText w:val="•"/>
      <w:lvlJc w:val="left"/>
      <w:pPr>
        <w:ind w:left="2716" w:hanging="240"/>
      </w:pPr>
      <w:rPr>
        <w:rFonts w:hint="default"/>
        <w:lang w:val="tr-TR" w:eastAsia="tr-TR" w:bidi="tr-TR"/>
      </w:rPr>
    </w:lvl>
    <w:lvl w:ilvl="3">
      <w:start w:val="0"/>
      <w:numFmt w:val="bullet"/>
      <w:lvlText w:val="•"/>
      <w:lvlJc w:val="left"/>
      <w:pPr>
        <w:ind w:left="3714" w:hanging="240"/>
      </w:pPr>
      <w:rPr>
        <w:rFonts w:hint="default"/>
        <w:lang w:val="tr-TR" w:eastAsia="tr-TR" w:bidi="tr-TR"/>
      </w:rPr>
    </w:lvl>
    <w:lvl w:ilvl="4">
      <w:start w:val="0"/>
      <w:numFmt w:val="bullet"/>
      <w:lvlText w:val="•"/>
      <w:lvlJc w:val="left"/>
      <w:pPr>
        <w:ind w:left="4712" w:hanging="240"/>
      </w:pPr>
      <w:rPr>
        <w:rFonts w:hint="default"/>
        <w:lang w:val="tr-TR" w:eastAsia="tr-TR" w:bidi="tr-TR"/>
      </w:rPr>
    </w:lvl>
    <w:lvl w:ilvl="5">
      <w:start w:val="0"/>
      <w:numFmt w:val="bullet"/>
      <w:lvlText w:val="•"/>
      <w:lvlJc w:val="left"/>
      <w:pPr>
        <w:ind w:left="5710" w:hanging="240"/>
      </w:pPr>
      <w:rPr>
        <w:rFonts w:hint="default"/>
        <w:lang w:val="tr-TR" w:eastAsia="tr-TR" w:bidi="tr-TR"/>
      </w:rPr>
    </w:lvl>
    <w:lvl w:ilvl="6">
      <w:start w:val="0"/>
      <w:numFmt w:val="bullet"/>
      <w:lvlText w:val="•"/>
      <w:lvlJc w:val="left"/>
      <w:pPr>
        <w:ind w:left="6708" w:hanging="240"/>
      </w:pPr>
      <w:rPr>
        <w:rFonts w:hint="default"/>
        <w:lang w:val="tr-TR" w:eastAsia="tr-TR" w:bidi="tr-TR"/>
      </w:rPr>
    </w:lvl>
    <w:lvl w:ilvl="7">
      <w:start w:val="0"/>
      <w:numFmt w:val="bullet"/>
      <w:lvlText w:val="•"/>
      <w:lvlJc w:val="left"/>
      <w:pPr>
        <w:ind w:left="7706" w:hanging="240"/>
      </w:pPr>
      <w:rPr>
        <w:rFonts w:hint="default"/>
        <w:lang w:val="tr-TR" w:eastAsia="tr-TR" w:bidi="tr-TR"/>
      </w:rPr>
    </w:lvl>
    <w:lvl w:ilvl="8">
      <w:start w:val="0"/>
      <w:numFmt w:val="bullet"/>
      <w:lvlText w:val="•"/>
      <w:lvlJc w:val="left"/>
      <w:pPr>
        <w:ind w:left="8704" w:hanging="240"/>
      </w:pPr>
      <w:rPr>
        <w:rFonts w:hint="default"/>
        <w:lang w:val="tr-TR" w:eastAsia="tr-TR" w:bidi="tr-TR"/>
      </w:rPr>
    </w:lvl>
  </w:abstractNum>
  <w:abstractNum w:abstractNumId="14">
    <w:multiLevelType w:val="hybridMultilevel"/>
    <w:lvl w:ilvl="0">
      <w:start w:val="1"/>
      <w:numFmt w:val="lowerLetter"/>
      <w:lvlText w:val="(%1)"/>
      <w:lvlJc w:val="left"/>
      <w:pPr>
        <w:ind w:left="1024" w:hanging="298"/>
        <w:jc w:val="left"/>
      </w:pPr>
      <w:rPr>
        <w:rFonts w:hint="default" w:ascii="Arial" w:hAnsi="Arial" w:eastAsia="Arial" w:cs="Arial"/>
        <w:w w:val="99"/>
        <w:sz w:val="20"/>
        <w:szCs w:val="20"/>
        <w:lang w:val="tr-TR" w:eastAsia="tr-TR" w:bidi="tr-TR"/>
      </w:rPr>
    </w:lvl>
    <w:lvl w:ilvl="1">
      <w:start w:val="0"/>
      <w:numFmt w:val="bullet"/>
      <w:lvlText w:val="•"/>
      <w:lvlJc w:val="left"/>
      <w:pPr>
        <w:ind w:left="1988" w:hanging="298"/>
      </w:pPr>
      <w:rPr>
        <w:rFonts w:hint="default"/>
        <w:lang w:val="tr-TR" w:eastAsia="tr-TR" w:bidi="tr-TR"/>
      </w:rPr>
    </w:lvl>
    <w:lvl w:ilvl="2">
      <w:start w:val="0"/>
      <w:numFmt w:val="bullet"/>
      <w:lvlText w:val="•"/>
      <w:lvlJc w:val="left"/>
      <w:pPr>
        <w:ind w:left="2956" w:hanging="298"/>
      </w:pPr>
      <w:rPr>
        <w:rFonts w:hint="default"/>
        <w:lang w:val="tr-TR" w:eastAsia="tr-TR" w:bidi="tr-TR"/>
      </w:rPr>
    </w:lvl>
    <w:lvl w:ilvl="3">
      <w:start w:val="0"/>
      <w:numFmt w:val="bullet"/>
      <w:lvlText w:val="•"/>
      <w:lvlJc w:val="left"/>
      <w:pPr>
        <w:ind w:left="3924" w:hanging="298"/>
      </w:pPr>
      <w:rPr>
        <w:rFonts w:hint="default"/>
        <w:lang w:val="tr-TR" w:eastAsia="tr-TR" w:bidi="tr-TR"/>
      </w:rPr>
    </w:lvl>
    <w:lvl w:ilvl="4">
      <w:start w:val="0"/>
      <w:numFmt w:val="bullet"/>
      <w:lvlText w:val="•"/>
      <w:lvlJc w:val="left"/>
      <w:pPr>
        <w:ind w:left="4892" w:hanging="298"/>
      </w:pPr>
      <w:rPr>
        <w:rFonts w:hint="default"/>
        <w:lang w:val="tr-TR" w:eastAsia="tr-TR" w:bidi="tr-TR"/>
      </w:rPr>
    </w:lvl>
    <w:lvl w:ilvl="5">
      <w:start w:val="0"/>
      <w:numFmt w:val="bullet"/>
      <w:lvlText w:val="•"/>
      <w:lvlJc w:val="left"/>
      <w:pPr>
        <w:ind w:left="5860" w:hanging="298"/>
      </w:pPr>
      <w:rPr>
        <w:rFonts w:hint="default"/>
        <w:lang w:val="tr-TR" w:eastAsia="tr-TR" w:bidi="tr-TR"/>
      </w:rPr>
    </w:lvl>
    <w:lvl w:ilvl="6">
      <w:start w:val="0"/>
      <w:numFmt w:val="bullet"/>
      <w:lvlText w:val="•"/>
      <w:lvlJc w:val="left"/>
      <w:pPr>
        <w:ind w:left="6828" w:hanging="298"/>
      </w:pPr>
      <w:rPr>
        <w:rFonts w:hint="default"/>
        <w:lang w:val="tr-TR" w:eastAsia="tr-TR" w:bidi="tr-TR"/>
      </w:rPr>
    </w:lvl>
    <w:lvl w:ilvl="7">
      <w:start w:val="0"/>
      <w:numFmt w:val="bullet"/>
      <w:lvlText w:val="•"/>
      <w:lvlJc w:val="left"/>
      <w:pPr>
        <w:ind w:left="7796" w:hanging="298"/>
      </w:pPr>
      <w:rPr>
        <w:rFonts w:hint="default"/>
        <w:lang w:val="tr-TR" w:eastAsia="tr-TR" w:bidi="tr-TR"/>
      </w:rPr>
    </w:lvl>
    <w:lvl w:ilvl="8">
      <w:start w:val="0"/>
      <w:numFmt w:val="bullet"/>
      <w:lvlText w:val="•"/>
      <w:lvlJc w:val="left"/>
      <w:pPr>
        <w:ind w:left="8764" w:hanging="298"/>
      </w:pPr>
      <w:rPr>
        <w:rFonts w:hint="default"/>
        <w:lang w:val="tr-TR" w:eastAsia="tr-TR" w:bidi="tr-TR"/>
      </w:rPr>
    </w:lvl>
  </w:abstractNum>
  <w:abstractNum w:abstractNumId="13">
    <w:multiLevelType w:val="hybridMultilevel"/>
    <w:lvl w:ilvl="0">
      <w:start w:val="1"/>
      <w:numFmt w:val="decimal"/>
      <w:lvlText w:val="%1."/>
      <w:lvlJc w:val="left"/>
      <w:pPr>
        <w:ind w:left="726" w:hanging="324"/>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324"/>
      </w:pPr>
      <w:rPr>
        <w:rFonts w:hint="default"/>
        <w:lang w:val="tr-TR" w:eastAsia="tr-TR" w:bidi="tr-TR"/>
      </w:rPr>
    </w:lvl>
    <w:lvl w:ilvl="2">
      <w:start w:val="0"/>
      <w:numFmt w:val="bullet"/>
      <w:lvlText w:val="•"/>
      <w:lvlJc w:val="left"/>
      <w:pPr>
        <w:ind w:left="2716" w:hanging="324"/>
      </w:pPr>
      <w:rPr>
        <w:rFonts w:hint="default"/>
        <w:lang w:val="tr-TR" w:eastAsia="tr-TR" w:bidi="tr-TR"/>
      </w:rPr>
    </w:lvl>
    <w:lvl w:ilvl="3">
      <w:start w:val="0"/>
      <w:numFmt w:val="bullet"/>
      <w:lvlText w:val="•"/>
      <w:lvlJc w:val="left"/>
      <w:pPr>
        <w:ind w:left="3714" w:hanging="324"/>
      </w:pPr>
      <w:rPr>
        <w:rFonts w:hint="default"/>
        <w:lang w:val="tr-TR" w:eastAsia="tr-TR" w:bidi="tr-TR"/>
      </w:rPr>
    </w:lvl>
    <w:lvl w:ilvl="4">
      <w:start w:val="0"/>
      <w:numFmt w:val="bullet"/>
      <w:lvlText w:val="•"/>
      <w:lvlJc w:val="left"/>
      <w:pPr>
        <w:ind w:left="4712" w:hanging="324"/>
      </w:pPr>
      <w:rPr>
        <w:rFonts w:hint="default"/>
        <w:lang w:val="tr-TR" w:eastAsia="tr-TR" w:bidi="tr-TR"/>
      </w:rPr>
    </w:lvl>
    <w:lvl w:ilvl="5">
      <w:start w:val="0"/>
      <w:numFmt w:val="bullet"/>
      <w:lvlText w:val="•"/>
      <w:lvlJc w:val="left"/>
      <w:pPr>
        <w:ind w:left="5710" w:hanging="324"/>
      </w:pPr>
      <w:rPr>
        <w:rFonts w:hint="default"/>
        <w:lang w:val="tr-TR" w:eastAsia="tr-TR" w:bidi="tr-TR"/>
      </w:rPr>
    </w:lvl>
    <w:lvl w:ilvl="6">
      <w:start w:val="0"/>
      <w:numFmt w:val="bullet"/>
      <w:lvlText w:val="•"/>
      <w:lvlJc w:val="left"/>
      <w:pPr>
        <w:ind w:left="6708" w:hanging="324"/>
      </w:pPr>
      <w:rPr>
        <w:rFonts w:hint="default"/>
        <w:lang w:val="tr-TR" w:eastAsia="tr-TR" w:bidi="tr-TR"/>
      </w:rPr>
    </w:lvl>
    <w:lvl w:ilvl="7">
      <w:start w:val="0"/>
      <w:numFmt w:val="bullet"/>
      <w:lvlText w:val="•"/>
      <w:lvlJc w:val="left"/>
      <w:pPr>
        <w:ind w:left="7706" w:hanging="324"/>
      </w:pPr>
      <w:rPr>
        <w:rFonts w:hint="default"/>
        <w:lang w:val="tr-TR" w:eastAsia="tr-TR" w:bidi="tr-TR"/>
      </w:rPr>
    </w:lvl>
    <w:lvl w:ilvl="8">
      <w:start w:val="0"/>
      <w:numFmt w:val="bullet"/>
      <w:lvlText w:val="•"/>
      <w:lvlJc w:val="left"/>
      <w:pPr>
        <w:ind w:left="8704" w:hanging="324"/>
      </w:pPr>
      <w:rPr>
        <w:rFonts w:hint="default"/>
        <w:lang w:val="tr-TR" w:eastAsia="tr-TR" w:bidi="tr-TR"/>
      </w:rPr>
    </w:lvl>
  </w:abstractNum>
  <w:abstractNum w:abstractNumId="12">
    <w:multiLevelType w:val="hybridMultilevel"/>
    <w:lvl w:ilvl="0">
      <w:start w:val="1"/>
      <w:numFmt w:val="decimal"/>
      <w:lvlText w:val="%1."/>
      <w:lvlJc w:val="left"/>
      <w:pPr>
        <w:ind w:left="726" w:hanging="368"/>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368"/>
      </w:pPr>
      <w:rPr>
        <w:rFonts w:hint="default"/>
        <w:lang w:val="tr-TR" w:eastAsia="tr-TR" w:bidi="tr-TR"/>
      </w:rPr>
    </w:lvl>
    <w:lvl w:ilvl="2">
      <w:start w:val="0"/>
      <w:numFmt w:val="bullet"/>
      <w:lvlText w:val="•"/>
      <w:lvlJc w:val="left"/>
      <w:pPr>
        <w:ind w:left="2716" w:hanging="368"/>
      </w:pPr>
      <w:rPr>
        <w:rFonts w:hint="default"/>
        <w:lang w:val="tr-TR" w:eastAsia="tr-TR" w:bidi="tr-TR"/>
      </w:rPr>
    </w:lvl>
    <w:lvl w:ilvl="3">
      <w:start w:val="0"/>
      <w:numFmt w:val="bullet"/>
      <w:lvlText w:val="•"/>
      <w:lvlJc w:val="left"/>
      <w:pPr>
        <w:ind w:left="3714" w:hanging="368"/>
      </w:pPr>
      <w:rPr>
        <w:rFonts w:hint="default"/>
        <w:lang w:val="tr-TR" w:eastAsia="tr-TR" w:bidi="tr-TR"/>
      </w:rPr>
    </w:lvl>
    <w:lvl w:ilvl="4">
      <w:start w:val="0"/>
      <w:numFmt w:val="bullet"/>
      <w:lvlText w:val="•"/>
      <w:lvlJc w:val="left"/>
      <w:pPr>
        <w:ind w:left="4712" w:hanging="368"/>
      </w:pPr>
      <w:rPr>
        <w:rFonts w:hint="default"/>
        <w:lang w:val="tr-TR" w:eastAsia="tr-TR" w:bidi="tr-TR"/>
      </w:rPr>
    </w:lvl>
    <w:lvl w:ilvl="5">
      <w:start w:val="0"/>
      <w:numFmt w:val="bullet"/>
      <w:lvlText w:val="•"/>
      <w:lvlJc w:val="left"/>
      <w:pPr>
        <w:ind w:left="5710" w:hanging="368"/>
      </w:pPr>
      <w:rPr>
        <w:rFonts w:hint="default"/>
        <w:lang w:val="tr-TR" w:eastAsia="tr-TR" w:bidi="tr-TR"/>
      </w:rPr>
    </w:lvl>
    <w:lvl w:ilvl="6">
      <w:start w:val="0"/>
      <w:numFmt w:val="bullet"/>
      <w:lvlText w:val="•"/>
      <w:lvlJc w:val="left"/>
      <w:pPr>
        <w:ind w:left="6708" w:hanging="368"/>
      </w:pPr>
      <w:rPr>
        <w:rFonts w:hint="default"/>
        <w:lang w:val="tr-TR" w:eastAsia="tr-TR" w:bidi="tr-TR"/>
      </w:rPr>
    </w:lvl>
    <w:lvl w:ilvl="7">
      <w:start w:val="0"/>
      <w:numFmt w:val="bullet"/>
      <w:lvlText w:val="•"/>
      <w:lvlJc w:val="left"/>
      <w:pPr>
        <w:ind w:left="7706" w:hanging="368"/>
      </w:pPr>
      <w:rPr>
        <w:rFonts w:hint="default"/>
        <w:lang w:val="tr-TR" w:eastAsia="tr-TR" w:bidi="tr-TR"/>
      </w:rPr>
    </w:lvl>
    <w:lvl w:ilvl="8">
      <w:start w:val="0"/>
      <w:numFmt w:val="bullet"/>
      <w:lvlText w:val="•"/>
      <w:lvlJc w:val="left"/>
      <w:pPr>
        <w:ind w:left="8704" w:hanging="368"/>
      </w:pPr>
      <w:rPr>
        <w:rFonts w:hint="default"/>
        <w:lang w:val="tr-TR" w:eastAsia="tr-TR" w:bidi="tr-TR"/>
      </w:rPr>
    </w:lvl>
  </w:abstractNum>
  <w:abstractNum w:abstractNumId="11">
    <w:multiLevelType w:val="hybridMultilevel"/>
    <w:lvl w:ilvl="0">
      <w:start w:val="1"/>
      <w:numFmt w:val="decimal"/>
      <w:lvlText w:val="%1."/>
      <w:lvlJc w:val="left"/>
      <w:pPr>
        <w:ind w:left="726" w:hanging="41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413"/>
      </w:pPr>
      <w:rPr>
        <w:rFonts w:hint="default"/>
        <w:lang w:val="tr-TR" w:eastAsia="tr-TR" w:bidi="tr-TR"/>
      </w:rPr>
    </w:lvl>
    <w:lvl w:ilvl="2">
      <w:start w:val="0"/>
      <w:numFmt w:val="bullet"/>
      <w:lvlText w:val="•"/>
      <w:lvlJc w:val="left"/>
      <w:pPr>
        <w:ind w:left="2716" w:hanging="413"/>
      </w:pPr>
      <w:rPr>
        <w:rFonts w:hint="default"/>
        <w:lang w:val="tr-TR" w:eastAsia="tr-TR" w:bidi="tr-TR"/>
      </w:rPr>
    </w:lvl>
    <w:lvl w:ilvl="3">
      <w:start w:val="0"/>
      <w:numFmt w:val="bullet"/>
      <w:lvlText w:val="•"/>
      <w:lvlJc w:val="left"/>
      <w:pPr>
        <w:ind w:left="3714" w:hanging="413"/>
      </w:pPr>
      <w:rPr>
        <w:rFonts w:hint="default"/>
        <w:lang w:val="tr-TR" w:eastAsia="tr-TR" w:bidi="tr-TR"/>
      </w:rPr>
    </w:lvl>
    <w:lvl w:ilvl="4">
      <w:start w:val="0"/>
      <w:numFmt w:val="bullet"/>
      <w:lvlText w:val="•"/>
      <w:lvlJc w:val="left"/>
      <w:pPr>
        <w:ind w:left="4712" w:hanging="413"/>
      </w:pPr>
      <w:rPr>
        <w:rFonts w:hint="default"/>
        <w:lang w:val="tr-TR" w:eastAsia="tr-TR" w:bidi="tr-TR"/>
      </w:rPr>
    </w:lvl>
    <w:lvl w:ilvl="5">
      <w:start w:val="0"/>
      <w:numFmt w:val="bullet"/>
      <w:lvlText w:val="•"/>
      <w:lvlJc w:val="left"/>
      <w:pPr>
        <w:ind w:left="5710" w:hanging="413"/>
      </w:pPr>
      <w:rPr>
        <w:rFonts w:hint="default"/>
        <w:lang w:val="tr-TR" w:eastAsia="tr-TR" w:bidi="tr-TR"/>
      </w:rPr>
    </w:lvl>
    <w:lvl w:ilvl="6">
      <w:start w:val="0"/>
      <w:numFmt w:val="bullet"/>
      <w:lvlText w:val="•"/>
      <w:lvlJc w:val="left"/>
      <w:pPr>
        <w:ind w:left="6708" w:hanging="413"/>
      </w:pPr>
      <w:rPr>
        <w:rFonts w:hint="default"/>
        <w:lang w:val="tr-TR" w:eastAsia="tr-TR" w:bidi="tr-TR"/>
      </w:rPr>
    </w:lvl>
    <w:lvl w:ilvl="7">
      <w:start w:val="0"/>
      <w:numFmt w:val="bullet"/>
      <w:lvlText w:val="•"/>
      <w:lvlJc w:val="left"/>
      <w:pPr>
        <w:ind w:left="7706" w:hanging="413"/>
      </w:pPr>
      <w:rPr>
        <w:rFonts w:hint="default"/>
        <w:lang w:val="tr-TR" w:eastAsia="tr-TR" w:bidi="tr-TR"/>
      </w:rPr>
    </w:lvl>
    <w:lvl w:ilvl="8">
      <w:start w:val="0"/>
      <w:numFmt w:val="bullet"/>
      <w:lvlText w:val="•"/>
      <w:lvlJc w:val="left"/>
      <w:pPr>
        <w:ind w:left="8704" w:hanging="413"/>
      </w:pPr>
      <w:rPr>
        <w:rFonts w:hint="default"/>
        <w:lang w:val="tr-TR" w:eastAsia="tr-TR" w:bidi="tr-TR"/>
      </w:rPr>
    </w:lvl>
  </w:abstractNum>
  <w:abstractNum w:abstractNumId="10">
    <w:multiLevelType w:val="hybridMultilevel"/>
    <w:lvl w:ilvl="0">
      <w:start w:val="1"/>
      <w:numFmt w:val="lowerLetter"/>
      <w:lvlText w:val="(%1)"/>
      <w:lvlJc w:val="left"/>
      <w:pPr>
        <w:ind w:left="1022" w:hanging="300"/>
        <w:jc w:val="left"/>
      </w:pPr>
      <w:rPr>
        <w:rFonts w:hint="default" w:ascii="Arial" w:hAnsi="Arial" w:eastAsia="Arial" w:cs="Arial"/>
        <w:w w:val="99"/>
        <w:sz w:val="20"/>
        <w:szCs w:val="20"/>
        <w:lang w:val="tr-TR" w:eastAsia="tr-TR" w:bidi="tr-TR"/>
      </w:rPr>
    </w:lvl>
    <w:lvl w:ilvl="1">
      <w:start w:val="0"/>
      <w:numFmt w:val="bullet"/>
      <w:lvlText w:val="•"/>
      <w:lvlJc w:val="left"/>
      <w:pPr>
        <w:ind w:left="1988" w:hanging="300"/>
      </w:pPr>
      <w:rPr>
        <w:rFonts w:hint="default"/>
        <w:lang w:val="tr-TR" w:eastAsia="tr-TR" w:bidi="tr-TR"/>
      </w:rPr>
    </w:lvl>
    <w:lvl w:ilvl="2">
      <w:start w:val="0"/>
      <w:numFmt w:val="bullet"/>
      <w:lvlText w:val="•"/>
      <w:lvlJc w:val="left"/>
      <w:pPr>
        <w:ind w:left="2956" w:hanging="300"/>
      </w:pPr>
      <w:rPr>
        <w:rFonts w:hint="default"/>
        <w:lang w:val="tr-TR" w:eastAsia="tr-TR" w:bidi="tr-TR"/>
      </w:rPr>
    </w:lvl>
    <w:lvl w:ilvl="3">
      <w:start w:val="0"/>
      <w:numFmt w:val="bullet"/>
      <w:lvlText w:val="•"/>
      <w:lvlJc w:val="left"/>
      <w:pPr>
        <w:ind w:left="3924" w:hanging="300"/>
      </w:pPr>
      <w:rPr>
        <w:rFonts w:hint="default"/>
        <w:lang w:val="tr-TR" w:eastAsia="tr-TR" w:bidi="tr-TR"/>
      </w:rPr>
    </w:lvl>
    <w:lvl w:ilvl="4">
      <w:start w:val="0"/>
      <w:numFmt w:val="bullet"/>
      <w:lvlText w:val="•"/>
      <w:lvlJc w:val="left"/>
      <w:pPr>
        <w:ind w:left="4892" w:hanging="300"/>
      </w:pPr>
      <w:rPr>
        <w:rFonts w:hint="default"/>
        <w:lang w:val="tr-TR" w:eastAsia="tr-TR" w:bidi="tr-TR"/>
      </w:rPr>
    </w:lvl>
    <w:lvl w:ilvl="5">
      <w:start w:val="0"/>
      <w:numFmt w:val="bullet"/>
      <w:lvlText w:val="•"/>
      <w:lvlJc w:val="left"/>
      <w:pPr>
        <w:ind w:left="5860" w:hanging="300"/>
      </w:pPr>
      <w:rPr>
        <w:rFonts w:hint="default"/>
        <w:lang w:val="tr-TR" w:eastAsia="tr-TR" w:bidi="tr-TR"/>
      </w:rPr>
    </w:lvl>
    <w:lvl w:ilvl="6">
      <w:start w:val="0"/>
      <w:numFmt w:val="bullet"/>
      <w:lvlText w:val="•"/>
      <w:lvlJc w:val="left"/>
      <w:pPr>
        <w:ind w:left="6828" w:hanging="300"/>
      </w:pPr>
      <w:rPr>
        <w:rFonts w:hint="default"/>
        <w:lang w:val="tr-TR" w:eastAsia="tr-TR" w:bidi="tr-TR"/>
      </w:rPr>
    </w:lvl>
    <w:lvl w:ilvl="7">
      <w:start w:val="0"/>
      <w:numFmt w:val="bullet"/>
      <w:lvlText w:val="•"/>
      <w:lvlJc w:val="left"/>
      <w:pPr>
        <w:ind w:left="7796" w:hanging="300"/>
      </w:pPr>
      <w:rPr>
        <w:rFonts w:hint="default"/>
        <w:lang w:val="tr-TR" w:eastAsia="tr-TR" w:bidi="tr-TR"/>
      </w:rPr>
    </w:lvl>
    <w:lvl w:ilvl="8">
      <w:start w:val="0"/>
      <w:numFmt w:val="bullet"/>
      <w:lvlText w:val="•"/>
      <w:lvlJc w:val="left"/>
      <w:pPr>
        <w:ind w:left="8764" w:hanging="300"/>
      </w:pPr>
      <w:rPr>
        <w:rFonts w:hint="default"/>
        <w:lang w:val="tr-TR" w:eastAsia="tr-TR" w:bidi="tr-TR"/>
      </w:rPr>
    </w:lvl>
  </w:abstractNum>
  <w:abstractNum w:abstractNumId="9">
    <w:multiLevelType w:val="hybridMultilevel"/>
    <w:lvl w:ilvl="0">
      <w:start w:val="1"/>
      <w:numFmt w:val="lowerLetter"/>
      <w:lvlText w:val="(%1)"/>
      <w:lvlJc w:val="left"/>
      <w:pPr>
        <w:ind w:left="726" w:hanging="300"/>
        <w:jc w:val="left"/>
      </w:pPr>
      <w:rPr>
        <w:rFonts w:hint="default" w:ascii="Arial" w:hAnsi="Arial" w:eastAsia="Arial" w:cs="Arial"/>
        <w:w w:val="99"/>
        <w:sz w:val="20"/>
        <w:szCs w:val="20"/>
        <w:lang w:val="tr-TR" w:eastAsia="tr-TR" w:bidi="tr-TR"/>
      </w:rPr>
    </w:lvl>
    <w:lvl w:ilvl="1">
      <w:start w:val="0"/>
      <w:numFmt w:val="bullet"/>
      <w:lvlText w:val="•"/>
      <w:lvlJc w:val="left"/>
      <w:pPr>
        <w:ind w:left="1718" w:hanging="300"/>
      </w:pPr>
      <w:rPr>
        <w:rFonts w:hint="default"/>
        <w:lang w:val="tr-TR" w:eastAsia="tr-TR" w:bidi="tr-TR"/>
      </w:rPr>
    </w:lvl>
    <w:lvl w:ilvl="2">
      <w:start w:val="0"/>
      <w:numFmt w:val="bullet"/>
      <w:lvlText w:val="•"/>
      <w:lvlJc w:val="left"/>
      <w:pPr>
        <w:ind w:left="2716" w:hanging="300"/>
      </w:pPr>
      <w:rPr>
        <w:rFonts w:hint="default"/>
        <w:lang w:val="tr-TR" w:eastAsia="tr-TR" w:bidi="tr-TR"/>
      </w:rPr>
    </w:lvl>
    <w:lvl w:ilvl="3">
      <w:start w:val="0"/>
      <w:numFmt w:val="bullet"/>
      <w:lvlText w:val="•"/>
      <w:lvlJc w:val="left"/>
      <w:pPr>
        <w:ind w:left="3714" w:hanging="300"/>
      </w:pPr>
      <w:rPr>
        <w:rFonts w:hint="default"/>
        <w:lang w:val="tr-TR" w:eastAsia="tr-TR" w:bidi="tr-TR"/>
      </w:rPr>
    </w:lvl>
    <w:lvl w:ilvl="4">
      <w:start w:val="0"/>
      <w:numFmt w:val="bullet"/>
      <w:lvlText w:val="•"/>
      <w:lvlJc w:val="left"/>
      <w:pPr>
        <w:ind w:left="4712" w:hanging="300"/>
      </w:pPr>
      <w:rPr>
        <w:rFonts w:hint="default"/>
        <w:lang w:val="tr-TR" w:eastAsia="tr-TR" w:bidi="tr-TR"/>
      </w:rPr>
    </w:lvl>
    <w:lvl w:ilvl="5">
      <w:start w:val="0"/>
      <w:numFmt w:val="bullet"/>
      <w:lvlText w:val="•"/>
      <w:lvlJc w:val="left"/>
      <w:pPr>
        <w:ind w:left="5710" w:hanging="300"/>
      </w:pPr>
      <w:rPr>
        <w:rFonts w:hint="default"/>
        <w:lang w:val="tr-TR" w:eastAsia="tr-TR" w:bidi="tr-TR"/>
      </w:rPr>
    </w:lvl>
    <w:lvl w:ilvl="6">
      <w:start w:val="0"/>
      <w:numFmt w:val="bullet"/>
      <w:lvlText w:val="•"/>
      <w:lvlJc w:val="left"/>
      <w:pPr>
        <w:ind w:left="6708" w:hanging="300"/>
      </w:pPr>
      <w:rPr>
        <w:rFonts w:hint="default"/>
        <w:lang w:val="tr-TR" w:eastAsia="tr-TR" w:bidi="tr-TR"/>
      </w:rPr>
    </w:lvl>
    <w:lvl w:ilvl="7">
      <w:start w:val="0"/>
      <w:numFmt w:val="bullet"/>
      <w:lvlText w:val="•"/>
      <w:lvlJc w:val="left"/>
      <w:pPr>
        <w:ind w:left="7706" w:hanging="300"/>
      </w:pPr>
      <w:rPr>
        <w:rFonts w:hint="default"/>
        <w:lang w:val="tr-TR" w:eastAsia="tr-TR" w:bidi="tr-TR"/>
      </w:rPr>
    </w:lvl>
    <w:lvl w:ilvl="8">
      <w:start w:val="0"/>
      <w:numFmt w:val="bullet"/>
      <w:lvlText w:val="•"/>
      <w:lvlJc w:val="left"/>
      <w:pPr>
        <w:ind w:left="8704" w:hanging="300"/>
      </w:pPr>
      <w:rPr>
        <w:rFonts w:hint="default"/>
        <w:lang w:val="tr-TR" w:eastAsia="tr-TR" w:bidi="tr-TR"/>
      </w:rPr>
    </w:lvl>
  </w:abstractNum>
  <w:abstractNum w:abstractNumId="8">
    <w:multiLevelType w:val="hybridMultilevel"/>
    <w:lvl w:ilvl="0">
      <w:start w:val="1"/>
      <w:numFmt w:val="lowerLetter"/>
      <w:lvlText w:val="(%1)"/>
      <w:lvlJc w:val="left"/>
      <w:pPr>
        <w:ind w:left="726" w:hanging="814"/>
        <w:jc w:val="left"/>
      </w:pPr>
      <w:rPr>
        <w:rFonts w:hint="default" w:ascii="Arial" w:hAnsi="Arial" w:eastAsia="Arial" w:cs="Arial"/>
        <w:w w:val="99"/>
        <w:sz w:val="20"/>
        <w:szCs w:val="20"/>
        <w:lang w:val="tr-TR" w:eastAsia="tr-TR" w:bidi="tr-TR"/>
      </w:rPr>
    </w:lvl>
    <w:lvl w:ilvl="1">
      <w:start w:val="0"/>
      <w:numFmt w:val="bullet"/>
      <w:lvlText w:val="•"/>
      <w:lvlJc w:val="left"/>
      <w:pPr>
        <w:ind w:left="1718" w:hanging="814"/>
      </w:pPr>
      <w:rPr>
        <w:rFonts w:hint="default"/>
        <w:lang w:val="tr-TR" w:eastAsia="tr-TR" w:bidi="tr-TR"/>
      </w:rPr>
    </w:lvl>
    <w:lvl w:ilvl="2">
      <w:start w:val="0"/>
      <w:numFmt w:val="bullet"/>
      <w:lvlText w:val="•"/>
      <w:lvlJc w:val="left"/>
      <w:pPr>
        <w:ind w:left="2716" w:hanging="814"/>
      </w:pPr>
      <w:rPr>
        <w:rFonts w:hint="default"/>
        <w:lang w:val="tr-TR" w:eastAsia="tr-TR" w:bidi="tr-TR"/>
      </w:rPr>
    </w:lvl>
    <w:lvl w:ilvl="3">
      <w:start w:val="0"/>
      <w:numFmt w:val="bullet"/>
      <w:lvlText w:val="•"/>
      <w:lvlJc w:val="left"/>
      <w:pPr>
        <w:ind w:left="3714" w:hanging="814"/>
      </w:pPr>
      <w:rPr>
        <w:rFonts w:hint="default"/>
        <w:lang w:val="tr-TR" w:eastAsia="tr-TR" w:bidi="tr-TR"/>
      </w:rPr>
    </w:lvl>
    <w:lvl w:ilvl="4">
      <w:start w:val="0"/>
      <w:numFmt w:val="bullet"/>
      <w:lvlText w:val="•"/>
      <w:lvlJc w:val="left"/>
      <w:pPr>
        <w:ind w:left="4712" w:hanging="814"/>
      </w:pPr>
      <w:rPr>
        <w:rFonts w:hint="default"/>
        <w:lang w:val="tr-TR" w:eastAsia="tr-TR" w:bidi="tr-TR"/>
      </w:rPr>
    </w:lvl>
    <w:lvl w:ilvl="5">
      <w:start w:val="0"/>
      <w:numFmt w:val="bullet"/>
      <w:lvlText w:val="•"/>
      <w:lvlJc w:val="left"/>
      <w:pPr>
        <w:ind w:left="5710" w:hanging="814"/>
      </w:pPr>
      <w:rPr>
        <w:rFonts w:hint="default"/>
        <w:lang w:val="tr-TR" w:eastAsia="tr-TR" w:bidi="tr-TR"/>
      </w:rPr>
    </w:lvl>
    <w:lvl w:ilvl="6">
      <w:start w:val="0"/>
      <w:numFmt w:val="bullet"/>
      <w:lvlText w:val="•"/>
      <w:lvlJc w:val="left"/>
      <w:pPr>
        <w:ind w:left="6708" w:hanging="814"/>
      </w:pPr>
      <w:rPr>
        <w:rFonts w:hint="default"/>
        <w:lang w:val="tr-TR" w:eastAsia="tr-TR" w:bidi="tr-TR"/>
      </w:rPr>
    </w:lvl>
    <w:lvl w:ilvl="7">
      <w:start w:val="0"/>
      <w:numFmt w:val="bullet"/>
      <w:lvlText w:val="•"/>
      <w:lvlJc w:val="left"/>
      <w:pPr>
        <w:ind w:left="7706" w:hanging="814"/>
      </w:pPr>
      <w:rPr>
        <w:rFonts w:hint="default"/>
        <w:lang w:val="tr-TR" w:eastAsia="tr-TR" w:bidi="tr-TR"/>
      </w:rPr>
    </w:lvl>
    <w:lvl w:ilvl="8">
      <w:start w:val="0"/>
      <w:numFmt w:val="bullet"/>
      <w:lvlText w:val="•"/>
      <w:lvlJc w:val="left"/>
      <w:pPr>
        <w:ind w:left="8704" w:hanging="814"/>
      </w:pPr>
      <w:rPr>
        <w:rFonts w:hint="default"/>
        <w:lang w:val="tr-TR" w:eastAsia="tr-TR" w:bidi="tr-TR"/>
      </w:rPr>
    </w:lvl>
  </w:abstractNum>
  <w:abstractNum w:abstractNumId="7">
    <w:multiLevelType w:val="hybridMultilevel"/>
    <w:lvl w:ilvl="0">
      <w:start w:val="1"/>
      <w:numFmt w:val="decimal"/>
      <w:lvlText w:val="%1."/>
      <w:lvlJc w:val="left"/>
      <w:pPr>
        <w:ind w:left="726" w:hanging="264"/>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64"/>
      </w:pPr>
      <w:rPr>
        <w:rFonts w:hint="default"/>
        <w:lang w:val="tr-TR" w:eastAsia="tr-TR" w:bidi="tr-TR"/>
      </w:rPr>
    </w:lvl>
    <w:lvl w:ilvl="2">
      <w:start w:val="0"/>
      <w:numFmt w:val="bullet"/>
      <w:lvlText w:val="•"/>
      <w:lvlJc w:val="left"/>
      <w:pPr>
        <w:ind w:left="2716" w:hanging="264"/>
      </w:pPr>
      <w:rPr>
        <w:rFonts w:hint="default"/>
        <w:lang w:val="tr-TR" w:eastAsia="tr-TR" w:bidi="tr-TR"/>
      </w:rPr>
    </w:lvl>
    <w:lvl w:ilvl="3">
      <w:start w:val="0"/>
      <w:numFmt w:val="bullet"/>
      <w:lvlText w:val="•"/>
      <w:lvlJc w:val="left"/>
      <w:pPr>
        <w:ind w:left="3714" w:hanging="264"/>
      </w:pPr>
      <w:rPr>
        <w:rFonts w:hint="default"/>
        <w:lang w:val="tr-TR" w:eastAsia="tr-TR" w:bidi="tr-TR"/>
      </w:rPr>
    </w:lvl>
    <w:lvl w:ilvl="4">
      <w:start w:val="0"/>
      <w:numFmt w:val="bullet"/>
      <w:lvlText w:val="•"/>
      <w:lvlJc w:val="left"/>
      <w:pPr>
        <w:ind w:left="4712" w:hanging="264"/>
      </w:pPr>
      <w:rPr>
        <w:rFonts w:hint="default"/>
        <w:lang w:val="tr-TR" w:eastAsia="tr-TR" w:bidi="tr-TR"/>
      </w:rPr>
    </w:lvl>
    <w:lvl w:ilvl="5">
      <w:start w:val="0"/>
      <w:numFmt w:val="bullet"/>
      <w:lvlText w:val="•"/>
      <w:lvlJc w:val="left"/>
      <w:pPr>
        <w:ind w:left="5710" w:hanging="264"/>
      </w:pPr>
      <w:rPr>
        <w:rFonts w:hint="default"/>
        <w:lang w:val="tr-TR" w:eastAsia="tr-TR" w:bidi="tr-TR"/>
      </w:rPr>
    </w:lvl>
    <w:lvl w:ilvl="6">
      <w:start w:val="0"/>
      <w:numFmt w:val="bullet"/>
      <w:lvlText w:val="•"/>
      <w:lvlJc w:val="left"/>
      <w:pPr>
        <w:ind w:left="6708" w:hanging="264"/>
      </w:pPr>
      <w:rPr>
        <w:rFonts w:hint="default"/>
        <w:lang w:val="tr-TR" w:eastAsia="tr-TR" w:bidi="tr-TR"/>
      </w:rPr>
    </w:lvl>
    <w:lvl w:ilvl="7">
      <w:start w:val="0"/>
      <w:numFmt w:val="bullet"/>
      <w:lvlText w:val="•"/>
      <w:lvlJc w:val="left"/>
      <w:pPr>
        <w:ind w:left="7706" w:hanging="264"/>
      </w:pPr>
      <w:rPr>
        <w:rFonts w:hint="default"/>
        <w:lang w:val="tr-TR" w:eastAsia="tr-TR" w:bidi="tr-TR"/>
      </w:rPr>
    </w:lvl>
    <w:lvl w:ilvl="8">
      <w:start w:val="0"/>
      <w:numFmt w:val="bullet"/>
      <w:lvlText w:val="•"/>
      <w:lvlJc w:val="left"/>
      <w:pPr>
        <w:ind w:left="8704" w:hanging="264"/>
      </w:pPr>
      <w:rPr>
        <w:rFonts w:hint="default"/>
        <w:lang w:val="tr-TR" w:eastAsia="tr-TR" w:bidi="tr-TR"/>
      </w:rPr>
    </w:lvl>
  </w:abstractNum>
  <w:abstractNum w:abstractNumId="6">
    <w:multiLevelType w:val="hybridMultilevel"/>
    <w:lvl w:ilvl="0">
      <w:start w:val="1"/>
      <w:numFmt w:val="lowerLetter"/>
      <w:lvlText w:val="(%1)"/>
      <w:lvlJc w:val="left"/>
      <w:pPr>
        <w:ind w:left="1022" w:hanging="296"/>
        <w:jc w:val="left"/>
      </w:pPr>
      <w:rPr>
        <w:rFonts w:hint="default" w:ascii="Arial" w:hAnsi="Arial" w:eastAsia="Arial" w:cs="Arial"/>
        <w:w w:val="99"/>
        <w:sz w:val="20"/>
        <w:szCs w:val="20"/>
        <w:lang w:val="tr-TR" w:eastAsia="tr-TR" w:bidi="tr-TR"/>
      </w:rPr>
    </w:lvl>
    <w:lvl w:ilvl="1">
      <w:start w:val="0"/>
      <w:numFmt w:val="bullet"/>
      <w:lvlText w:val="•"/>
      <w:lvlJc w:val="left"/>
      <w:pPr>
        <w:ind w:left="1988" w:hanging="296"/>
      </w:pPr>
      <w:rPr>
        <w:rFonts w:hint="default"/>
        <w:lang w:val="tr-TR" w:eastAsia="tr-TR" w:bidi="tr-TR"/>
      </w:rPr>
    </w:lvl>
    <w:lvl w:ilvl="2">
      <w:start w:val="0"/>
      <w:numFmt w:val="bullet"/>
      <w:lvlText w:val="•"/>
      <w:lvlJc w:val="left"/>
      <w:pPr>
        <w:ind w:left="2956" w:hanging="296"/>
      </w:pPr>
      <w:rPr>
        <w:rFonts w:hint="default"/>
        <w:lang w:val="tr-TR" w:eastAsia="tr-TR" w:bidi="tr-TR"/>
      </w:rPr>
    </w:lvl>
    <w:lvl w:ilvl="3">
      <w:start w:val="0"/>
      <w:numFmt w:val="bullet"/>
      <w:lvlText w:val="•"/>
      <w:lvlJc w:val="left"/>
      <w:pPr>
        <w:ind w:left="3924" w:hanging="296"/>
      </w:pPr>
      <w:rPr>
        <w:rFonts w:hint="default"/>
        <w:lang w:val="tr-TR" w:eastAsia="tr-TR" w:bidi="tr-TR"/>
      </w:rPr>
    </w:lvl>
    <w:lvl w:ilvl="4">
      <w:start w:val="0"/>
      <w:numFmt w:val="bullet"/>
      <w:lvlText w:val="•"/>
      <w:lvlJc w:val="left"/>
      <w:pPr>
        <w:ind w:left="4892" w:hanging="296"/>
      </w:pPr>
      <w:rPr>
        <w:rFonts w:hint="default"/>
        <w:lang w:val="tr-TR" w:eastAsia="tr-TR" w:bidi="tr-TR"/>
      </w:rPr>
    </w:lvl>
    <w:lvl w:ilvl="5">
      <w:start w:val="0"/>
      <w:numFmt w:val="bullet"/>
      <w:lvlText w:val="•"/>
      <w:lvlJc w:val="left"/>
      <w:pPr>
        <w:ind w:left="5860" w:hanging="296"/>
      </w:pPr>
      <w:rPr>
        <w:rFonts w:hint="default"/>
        <w:lang w:val="tr-TR" w:eastAsia="tr-TR" w:bidi="tr-TR"/>
      </w:rPr>
    </w:lvl>
    <w:lvl w:ilvl="6">
      <w:start w:val="0"/>
      <w:numFmt w:val="bullet"/>
      <w:lvlText w:val="•"/>
      <w:lvlJc w:val="left"/>
      <w:pPr>
        <w:ind w:left="6828" w:hanging="296"/>
      </w:pPr>
      <w:rPr>
        <w:rFonts w:hint="default"/>
        <w:lang w:val="tr-TR" w:eastAsia="tr-TR" w:bidi="tr-TR"/>
      </w:rPr>
    </w:lvl>
    <w:lvl w:ilvl="7">
      <w:start w:val="0"/>
      <w:numFmt w:val="bullet"/>
      <w:lvlText w:val="•"/>
      <w:lvlJc w:val="left"/>
      <w:pPr>
        <w:ind w:left="7796" w:hanging="296"/>
      </w:pPr>
      <w:rPr>
        <w:rFonts w:hint="default"/>
        <w:lang w:val="tr-TR" w:eastAsia="tr-TR" w:bidi="tr-TR"/>
      </w:rPr>
    </w:lvl>
    <w:lvl w:ilvl="8">
      <w:start w:val="0"/>
      <w:numFmt w:val="bullet"/>
      <w:lvlText w:val="•"/>
      <w:lvlJc w:val="left"/>
      <w:pPr>
        <w:ind w:left="8764" w:hanging="296"/>
      </w:pPr>
      <w:rPr>
        <w:rFonts w:hint="default"/>
        <w:lang w:val="tr-TR" w:eastAsia="tr-TR" w:bidi="tr-TR"/>
      </w:rPr>
    </w:lvl>
  </w:abstractNum>
  <w:abstractNum w:abstractNumId="5">
    <w:multiLevelType w:val="hybridMultilevel"/>
    <w:lvl w:ilvl="0">
      <w:start w:val="1"/>
      <w:numFmt w:val="decimal"/>
      <w:lvlText w:val="%1."/>
      <w:lvlJc w:val="left"/>
      <w:pPr>
        <w:ind w:left="726" w:hanging="221"/>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21"/>
      </w:pPr>
      <w:rPr>
        <w:rFonts w:hint="default"/>
        <w:lang w:val="tr-TR" w:eastAsia="tr-TR" w:bidi="tr-TR"/>
      </w:rPr>
    </w:lvl>
    <w:lvl w:ilvl="2">
      <w:start w:val="0"/>
      <w:numFmt w:val="bullet"/>
      <w:lvlText w:val="•"/>
      <w:lvlJc w:val="left"/>
      <w:pPr>
        <w:ind w:left="2716" w:hanging="221"/>
      </w:pPr>
      <w:rPr>
        <w:rFonts w:hint="default"/>
        <w:lang w:val="tr-TR" w:eastAsia="tr-TR" w:bidi="tr-TR"/>
      </w:rPr>
    </w:lvl>
    <w:lvl w:ilvl="3">
      <w:start w:val="0"/>
      <w:numFmt w:val="bullet"/>
      <w:lvlText w:val="•"/>
      <w:lvlJc w:val="left"/>
      <w:pPr>
        <w:ind w:left="3714" w:hanging="221"/>
      </w:pPr>
      <w:rPr>
        <w:rFonts w:hint="default"/>
        <w:lang w:val="tr-TR" w:eastAsia="tr-TR" w:bidi="tr-TR"/>
      </w:rPr>
    </w:lvl>
    <w:lvl w:ilvl="4">
      <w:start w:val="0"/>
      <w:numFmt w:val="bullet"/>
      <w:lvlText w:val="•"/>
      <w:lvlJc w:val="left"/>
      <w:pPr>
        <w:ind w:left="4712" w:hanging="221"/>
      </w:pPr>
      <w:rPr>
        <w:rFonts w:hint="default"/>
        <w:lang w:val="tr-TR" w:eastAsia="tr-TR" w:bidi="tr-TR"/>
      </w:rPr>
    </w:lvl>
    <w:lvl w:ilvl="5">
      <w:start w:val="0"/>
      <w:numFmt w:val="bullet"/>
      <w:lvlText w:val="•"/>
      <w:lvlJc w:val="left"/>
      <w:pPr>
        <w:ind w:left="5710" w:hanging="221"/>
      </w:pPr>
      <w:rPr>
        <w:rFonts w:hint="default"/>
        <w:lang w:val="tr-TR" w:eastAsia="tr-TR" w:bidi="tr-TR"/>
      </w:rPr>
    </w:lvl>
    <w:lvl w:ilvl="6">
      <w:start w:val="0"/>
      <w:numFmt w:val="bullet"/>
      <w:lvlText w:val="•"/>
      <w:lvlJc w:val="left"/>
      <w:pPr>
        <w:ind w:left="6708" w:hanging="221"/>
      </w:pPr>
      <w:rPr>
        <w:rFonts w:hint="default"/>
        <w:lang w:val="tr-TR" w:eastAsia="tr-TR" w:bidi="tr-TR"/>
      </w:rPr>
    </w:lvl>
    <w:lvl w:ilvl="7">
      <w:start w:val="0"/>
      <w:numFmt w:val="bullet"/>
      <w:lvlText w:val="•"/>
      <w:lvlJc w:val="left"/>
      <w:pPr>
        <w:ind w:left="7706" w:hanging="221"/>
      </w:pPr>
      <w:rPr>
        <w:rFonts w:hint="default"/>
        <w:lang w:val="tr-TR" w:eastAsia="tr-TR" w:bidi="tr-TR"/>
      </w:rPr>
    </w:lvl>
    <w:lvl w:ilvl="8">
      <w:start w:val="0"/>
      <w:numFmt w:val="bullet"/>
      <w:lvlText w:val="•"/>
      <w:lvlJc w:val="left"/>
      <w:pPr>
        <w:ind w:left="8704" w:hanging="221"/>
      </w:pPr>
      <w:rPr>
        <w:rFonts w:hint="default"/>
        <w:lang w:val="tr-TR" w:eastAsia="tr-TR" w:bidi="tr-TR"/>
      </w:rPr>
    </w:lvl>
  </w:abstractNum>
  <w:abstractNum w:abstractNumId="4">
    <w:multiLevelType w:val="hybridMultilevel"/>
    <w:lvl w:ilvl="0">
      <w:start w:val="1"/>
      <w:numFmt w:val="lowerLetter"/>
      <w:lvlText w:val="(%1)"/>
      <w:lvlJc w:val="left"/>
      <w:pPr>
        <w:ind w:left="1022" w:hanging="296"/>
        <w:jc w:val="left"/>
      </w:pPr>
      <w:rPr>
        <w:rFonts w:hint="default" w:ascii="Arial" w:hAnsi="Arial" w:eastAsia="Arial" w:cs="Arial"/>
        <w:w w:val="99"/>
        <w:sz w:val="20"/>
        <w:szCs w:val="20"/>
        <w:lang w:val="tr-TR" w:eastAsia="tr-TR" w:bidi="tr-TR"/>
      </w:rPr>
    </w:lvl>
    <w:lvl w:ilvl="1">
      <w:start w:val="0"/>
      <w:numFmt w:val="bullet"/>
      <w:lvlText w:val="•"/>
      <w:lvlJc w:val="left"/>
      <w:pPr>
        <w:ind w:left="1988" w:hanging="296"/>
      </w:pPr>
      <w:rPr>
        <w:rFonts w:hint="default"/>
        <w:lang w:val="tr-TR" w:eastAsia="tr-TR" w:bidi="tr-TR"/>
      </w:rPr>
    </w:lvl>
    <w:lvl w:ilvl="2">
      <w:start w:val="0"/>
      <w:numFmt w:val="bullet"/>
      <w:lvlText w:val="•"/>
      <w:lvlJc w:val="left"/>
      <w:pPr>
        <w:ind w:left="2956" w:hanging="296"/>
      </w:pPr>
      <w:rPr>
        <w:rFonts w:hint="default"/>
        <w:lang w:val="tr-TR" w:eastAsia="tr-TR" w:bidi="tr-TR"/>
      </w:rPr>
    </w:lvl>
    <w:lvl w:ilvl="3">
      <w:start w:val="0"/>
      <w:numFmt w:val="bullet"/>
      <w:lvlText w:val="•"/>
      <w:lvlJc w:val="left"/>
      <w:pPr>
        <w:ind w:left="3924" w:hanging="296"/>
      </w:pPr>
      <w:rPr>
        <w:rFonts w:hint="default"/>
        <w:lang w:val="tr-TR" w:eastAsia="tr-TR" w:bidi="tr-TR"/>
      </w:rPr>
    </w:lvl>
    <w:lvl w:ilvl="4">
      <w:start w:val="0"/>
      <w:numFmt w:val="bullet"/>
      <w:lvlText w:val="•"/>
      <w:lvlJc w:val="left"/>
      <w:pPr>
        <w:ind w:left="4892" w:hanging="296"/>
      </w:pPr>
      <w:rPr>
        <w:rFonts w:hint="default"/>
        <w:lang w:val="tr-TR" w:eastAsia="tr-TR" w:bidi="tr-TR"/>
      </w:rPr>
    </w:lvl>
    <w:lvl w:ilvl="5">
      <w:start w:val="0"/>
      <w:numFmt w:val="bullet"/>
      <w:lvlText w:val="•"/>
      <w:lvlJc w:val="left"/>
      <w:pPr>
        <w:ind w:left="5860" w:hanging="296"/>
      </w:pPr>
      <w:rPr>
        <w:rFonts w:hint="default"/>
        <w:lang w:val="tr-TR" w:eastAsia="tr-TR" w:bidi="tr-TR"/>
      </w:rPr>
    </w:lvl>
    <w:lvl w:ilvl="6">
      <w:start w:val="0"/>
      <w:numFmt w:val="bullet"/>
      <w:lvlText w:val="•"/>
      <w:lvlJc w:val="left"/>
      <w:pPr>
        <w:ind w:left="6828" w:hanging="296"/>
      </w:pPr>
      <w:rPr>
        <w:rFonts w:hint="default"/>
        <w:lang w:val="tr-TR" w:eastAsia="tr-TR" w:bidi="tr-TR"/>
      </w:rPr>
    </w:lvl>
    <w:lvl w:ilvl="7">
      <w:start w:val="0"/>
      <w:numFmt w:val="bullet"/>
      <w:lvlText w:val="•"/>
      <w:lvlJc w:val="left"/>
      <w:pPr>
        <w:ind w:left="7796" w:hanging="296"/>
      </w:pPr>
      <w:rPr>
        <w:rFonts w:hint="default"/>
        <w:lang w:val="tr-TR" w:eastAsia="tr-TR" w:bidi="tr-TR"/>
      </w:rPr>
    </w:lvl>
    <w:lvl w:ilvl="8">
      <w:start w:val="0"/>
      <w:numFmt w:val="bullet"/>
      <w:lvlText w:val="•"/>
      <w:lvlJc w:val="left"/>
      <w:pPr>
        <w:ind w:left="8764" w:hanging="296"/>
      </w:pPr>
      <w:rPr>
        <w:rFonts w:hint="default"/>
        <w:lang w:val="tr-TR" w:eastAsia="tr-TR" w:bidi="tr-TR"/>
      </w:rPr>
    </w:lvl>
  </w:abstractNum>
  <w:abstractNum w:abstractNumId="3">
    <w:multiLevelType w:val="hybridMultilevel"/>
    <w:lvl w:ilvl="0">
      <w:start w:val="1"/>
      <w:numFmt w:val="decimal"/>
      <w:lvlText w:val="%1."/>
      <w:lvlJc w:val="left"/>
      <w:pPr>
        <w:ind w:left="726" w:hanging="300"/>
        <w:jc w:val="left"/>
      </w:pPr>
      <w:rPr>
        <w:rFonts w:hint="default" w:ascii="Arial" w:hAnsi="Arial" w:eastAsia="Arial" w:cs="Arial"/>
        <w:spacing w:val="-1"/>
        <w:w w:val="99"/>
        <w:sz w:val="20"/>
        <w:szCs w:val="20"/>
        <w:lang w:val="tr-TR" w:eastAsia="tr-TR" w:bidi="tr-TR"/>
      </w:rPr>
    </w:lvl>
    <w:lvl w:ilvl="1">
      <w:start w:val="1"/>
      <w:numFmt w:val="decimal"/>
      <w:lvlText w:val="(%2)"/>
      <w:lvlJc w:val="left"/>
      <w:pPr>
        <w:ind w:left="1132" w:hanging="300"/>
        <w:jc w:val="right"/>
      </w:pPr>
      <w:rPr>
        <w:rFonts w:hint="default" w:ascii="Arial" w:hAnsi="Arial" w:eastAsia="Arial" w:cs="Arial"/>
        <w:w w:val="99"/>
        <w:sz w:val="20"/>
        <w:szCs w:val="20"/>
        <w:lang w:val="tr-TR" w:eastAsia="tr-TR" w:bidi="tr-TR"/>
      </w:rPr>
    </w:lvl>
    <w:lvl w:ilvl="2">
      <w:start w:val="1"/>
      <w:numFmt w:val="lowerLetter"/>
      <w:lvlText w:val="(%3)"/>
      <w:lvlJc w:val="left"/>
      <w:pPr>
        <w:ind w:left="1425" w:hanging="381"/>
        <w:jc w:val="left"/>
      </w:pPr>
      <w:rPr>
        <w:rFonts w:hint="default" w:ascii="Arial" w:hAnsi="Arial" w:eastAsia="Arial" w:cs="Arial"/>
        <w:spacing w:val="-1"/>
        <w:w w:val="99"/>
        <w:sz w:val="20"/>
        <w:szCs w:val="20"/>
        <w:lang w:val="tr-TR" w:eastAsia="tr-TR" w:bidi="tr-TR"/>
      </w:rPr>
    </w:lvl>
    <w:lvl w:ilvl="3">
      <w:start w:val="0"/>
      <w:numFmt w:val="bullet"/>
      <w:lvlText w:val="•"/>
      <w:lvlJc w:val="left"/>
      <w:pPr>
        <w:ind w:left="1500" w:hanging="381"/>
      </w:pPr>
      <w:rPr>
        <w:rFonts w:hint="default"/>
        <w:lang w:val="tr-TR" w:eastAsia="tr-TR" w:bidi="tr-TR"/>
      </w:rPr>
    </w:lvl>
    <w:lvl w:ilvl="4">
      <w:start w:val="0"/>
      <w:numFmt w:val="bullet"/>
      <w:lvlText w:val="•"/>
      <w:lvlJc w:val="left"/>
      <w:pPr>
        <w:ind w:left="2814" w:hanging="381"/>
      </w:pPr>
      <w:rPr>
        <w:rFonts w:hint="default"/>
        <w:lang w:val="tr-TR" w:eastAsia="tr-TR" w:bidi="tr-TR"/>
      </w:rPr>
    </w:lvl>
    <w:lvl w:ilvl="5">
      <w:start w:val="0"/>
      <w:numFmt w:val="bullet"/>
      <w:lvlText w:val="•"/>
      <w:lvlJc w:val="left"/>
      <w:pPr>
        <w:ind w:left="4128" w:hanging="381"/>
      </w:pPr>
      <w:rPr>
        <w:rFonts w:hint="default"/>
        <w:lang w:val="tr-TR" w:eastAsia="tr-TR" w:bidi="tr-TR"/>
      </w:rPr>
    </w:lvl>
    <w:lvl w:ilvl="6">
      <w:start w:val="0"/>
      <w:numFmt w:val="bullet"/>
      <w:lvlText w:val="•"/>
      <w:lvlJc w:val="left"/>
      <w:pPr>
        <w:ind w:left="5443" w:hanging="381"/>
      </w:pPr>
      <w:rPr>
        <w:rFonts w:hint="default"/>
        <w:lang w:val="tr-TR" w:eastAsia="tr-TR" w:bidi="tr-TR"/>
      </w:rPr>
    </w:lvl>
    <w:lvl w:ilvl="7">
      <w:start w:val="0"/>
      <w:numFmt w:val="bullet"/>
      <w:lvlText w:val="•"/>
      <w:lvlJc w:val="left"/>
      <w:pPr>
        <w:ind w:left="6757" w:hanging="381"/>
      </w:pPr>
      <w:rPr>
        <w:rFonts w:hint="default"/>
        <w:lang w:val="tr-TR" w:eastAsia="tr-TR" w:bidi="tr-TR"/>
      </w:rPr>
    </w:lvl>
    <w:lvl w:ilvl="8">
      <w:start w:val="0"/>
      <w:numFmt w:val="bullet"/>
      <w:lvlText w:val="•"/>
      <w:lvlJc w:val="left"/>
      <w:pPr>
        <w:ind w:left="8072" w:hanging="381"/>
      </w:pPr>
      <w:rPr>
        <w:rFonts w:hint="default"/>
        <w:lang w:val="tr-TR" w:eastAsia="tr-TR" w:bidi="tr-TR"/>
      </w:rPr>
    </w:lvl>
  </w:abstractNum>
  <w:abstractNum w:abstractNumId="2">
    <w:multiLevelType w:val="hybridMultilevel"/>
    <w:lvl w:ilvl="0">
      <w:start w:val="1"/>
      <w:numFmt w:val="lowerLetter"/>
      <w:lvlText w:val="(%1)"/>
      <w:lvlJc w:val="left"/>
      <w:pPr>
        <w:ind w:left="726" w:hanging="356"/>
        <w:jc w:val="left"/>
      </w:pPr>
      <w:rPr>
        <w:rFonts w:hint="default" w:ascii="Arial" w:hAnsi="Arial" w:eastAsia="Arial" w:cs="Arial"/>
        <w:w w:val="99"/>
        <w:sz w:val="20"/>
        <w:szCs w:val="20"/>
        <w:lang w:val="tr-TR" w:eastAsia="tr-TR" w:bidi="tr-TR"/>
      </w:rPr>
    </w:lvl>
    <w:lvl w:ilvl="1">
      <w:start w:val="0"/>
      <w:numFmt w:val="bullet"/>
      <w:lvlText w:val="•"/>
      <w:lvlJc w:val="left"/>
      <w:pPr>
        <w:ind w:left="1718" w:hanging="356"/>
      </w:pPr>
      <w:rPr>
        <w:rFonts w:hint="default"/>
        <w:lang w:val="tr-TR" w:eastAsia="tr-TR" w:bidi="tr-TR"/>
      </w:rPr>
    </w:lvl>
    <w:lvl w:ilvl="2">
      <w:start w:val="0"/>
      <w:numFmt w:val="bullet"/>
      <w:lvlText w:val="•"/>
      <w:lvlJc w:val="left"/>
      <w:pPr>
        <w:ind w:left="2716" w:hanging="356"/>
      </w:pPr>
      <w:rPr>
        <w:rFonts w:hint="default"/>
        <w:lang w:val="tr-TR" w:eastAsia="tr-TR" w:bidi="tr-TR"/>
      </w:rPr>
    </w:lvl>
    <w:lvl w:ilvl="3">
      <w:start w:val="0"/>
      <w:numFmt w:val="bullet"/>
      <w:lvlText w:val="•"/>
      <w:lvlJc w:val="left"/>
      <w:pPr>
        <w:ind w:left="3714" w:hanging="356"/>
      </w:pPr>
      <w:rPr>
        <w:rFonts w:hint="default"/>
        <w:lang w:val="tr-TR" w:eastAsia="tr-TR" w:bidi="tr-TR"/>
      </w:rPr>
    </w:lvl>
    <w:lvl w:ilvl="4">
      <w:start w:val="0"/>
      <w:numFmt w:val="bullet"/>
      <w:lvlText w:val="•"/>
      <w:lvlJc w:val="left"/>
      <w:pPr>
        <w:ind w:left="4712" w:hanging="356"/>
      </w:pPr>
      <w:rPr>
        <w:rFonts w:hint="default"/>
        <w:lang w:val="tr-TR" w:eastAsia="tr-TR" w:bidi="tr-TR"/>
      </w:rPr>
    </w:lvl>
    <w:lvl w:ilvl="5">
      <w:start w:val="0"/>
      <w:numFmt w:val="bullet"/>
      <w:lvlText w:val="•"/>
      <w:lvlJc w:val="left"/>
      <w:pPr>
        <w:ind w:left="5710" w:hanging="356"/>
      </w:pPr>
      <w:rPr>
        <w:rFonts w:hint="default"/>
        <w:lang w:val="tr-TR" w:eastAsia="tr-TR" w:bidi="tr-TR"/>
      </w:rPr>
    </w:lvl>
    <w:lvl w:ilvl="6">
      <w:start w:val="0"/>
      <w:numFmt w:val="bullet"/>
      <w:lvlText w:val="•"/>
      <w:lvlJc w:val="left"/>
      <w:pPr>
        <w:ind w:left="6708" w:hanging="356"/>
      </w:pPr>
      <w:rPr>
        <w:rFonts w:hint="default"/>
        <w:lang w:val="tr-TR" w:eastAsia="tr-TR" w:bidi="tr-TR"/>
      </w:rPr>
    </w:lvl>
    <w:lvl w:ilvl="7">
      <w:start w:val="0"/>
      <w:numFmt w:val="bullet"/>
      <w:lvlText w:val="•"/>
      <w:lvlJc w:val="left"/>
      <w:pPr>
        <w:ind w:left="7706" w:hanging="356"/>
      </w:pPr>
      <w:rPr>
        <w:rFonts w:hint="default"/>
        <w:lang w:val="tr-TR" w:eastAsia="tr-TR" w:bidi="tr-TR"/>
      </w:rPr>
    </w:lvl>
    <w:lvl w:ilvl="8">
      <w:start w:val="0"/>
      <w:numFmt w:val="bullet"/>
      <w:lvlText w:val="•"/>
      <w:lvlJc w:val="left"/>
      <w:pPr>
        <w:ind w:left="8704" w:hanging="356"/>
      </w:pPr>
      <w:rPr>
        <w:rFonts w:hint="default"/>
        <w:lang w:val="tr-TR" w:eastAsia="tr-TR" w:bidi="tr-TR"/>
      </w:rPr>
    </w:lvl>
  </w:abstractNum>
  <w:abstractNum w:abstractNumId="1">
    <w:multiLevelType w:val="hybridMultilevel"/>
    <w:lvl w:ilvl="0">
      <w:start w:val="1"/>
      <w:numFmt w:val="decimal"/>
      <w:lvlText w:val="%1."/>
      <w:lvlJc w:val="left"/>
      <w:pPr>
        <w:ind w:left="726" w:hanging="243"/>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43"/>
      </w:pPr>
      <w:rPr>
        <w:rFonts w:hint="default"/>
        <w:lang w:val="tr-TR" w:eastAsia="tr-TR" w:bidi="tr-TR"/>
      </w:rPr>
    </w:lvl>
    <w:lvl w:ilvl="2">
      <w:start w:val="0"/>
      <w:numFmt w:val="bullet"/>
      <w:lvlText w:val="•"/>
      <w:lvlJc w:val="left"/>
      <w:pPr>
        <w:ind w:left="2716" w:hanging="243"/>
      </w:pPr>
      <w:rPr>
        <w:rFonts w:hint="default"/>
        <w:lang w:val="tr-TR" w:eastAsia="tr-TR" w:bidi="tr-TR"/>
      </w:rPr>
    </w:lvl>
    <w:lvl w:ilvl="3">
      <w:start w:val="0"/>
      <w:numFmt w:val="bullet"/>
      <w:lvlText w:val="•"/>
      <w:lvlJc w:val="left"/>
      <w:pPr>
        <w:ind w:left="3714" w:hanging="243"/>
      </w:pPr>
      <w:rPr>
        <w:rFonts w:hint="default"/>
        <w:lang w:val="tr-TR" w:eastAsia="tr-TR" w:bidi="tr-TR"/>
      </w:rPr>
    </w:lvl>
    <w:lvl w:ilvl="4">
      <w:start w:val="0"/>
      <w:numFmt w:val="bullet"/>
      <w:lvlText w:val="•"/>
      <w:lvlJc w:val="left"/>
      <w:pPr>
        <w:ind w:left="4712" w:hanging="243"/>
      </w:pPr>
      <w:rPr>
        <w:rFonts w:hint="default"/>
        <w:lang w:val="tr-TR" w:eastAsia="tr-TR" w:bidi="tr-TR"/>
      </w:rPr>
    </w:lvl>
    <w:lvl w:ilvl="5">
      <w:start w:val="0"/>
      <w:numFmt w:val="bullet"/>
      <w:lvlText w:val="•"/>
      <w:lvlJc w:val="left"/>
      <w:pPr>
        <w:ind w:left="5710" w:hanging="243"/>
      </w:pPr>
      <w:rPr>
        <w:rFonts w:hint="default"/>
        <w:lang w:val="tr-TR" w:eastAsia="tr-TR" w:bidi="tr-TR"/>
      </w:rPr>
    </w:lvl>
    <w:lvl w:ilvl="6">
      <w:start w:val="0"/>
      <w:numFmt w:val="bullet"/>
      <w:lvlText w:val="•"/>
      <w:lvlJc w:val="left"/>
      <w:pPr>
        <w:ind w:left="6708" w:hanging="243"/>
      </w:pPr>
      <w:rPr>
        <w:rFonts w:hint="default"/>
        <w:lang w:val="tr-TR" w:eastAsia="tr-TR" w:bidi="tr-TR"/>
      </w:rPr>
    </w:lvl>
    <w:lvl w:ilvl="7">
      <w:start w:val="0"/>
      <w:numFmt w:val="bullet"/>
      <w:lvlText w:val="•"/>
      <w:lvlJc w:val="left"/>
      <w:pPr>
        <w:ind w:left="7706" w:hanging="243"/>
      </w:pPr>
      <w:rPr>
        <w:rFonts w:hint="default"/>
        <w:lang w:val="tr-TR" w:eastAsia="tr-TR" w:bidi="tr-TR"/>
      </w:rPr>
    </w:lvl>
    <w:lvl w:ilvl="8">
      <w:start w:val="0"/>
      <w:numFmt w:val="bullet"/>
      <w:lvlText w:val="•"/>
      <w:lvlJc w:val="left"/>
      <w:pPr>
        <w:ind w:left="8704" w:hanging="243"/>
      </w:pPr>
      <w:rPr>
        <w:rFonts w:hint="default"/>
        <w:lang w:val="tr-TR" w:eastAsia="tr-TR" w:bidi="tr-TR"/>
      </w:rPr>
    </w:lvl>
  </w:abstractNum>
  <w:abstractNum w:abstractNumId="0">
    <w:multiLevelType w:val="hybridMultilevel"/>
    <w:lvl w:ilvl="0">
      <w:start w:val="1"/>
      <w:numFmt w:val="decimal"/>
      <w:lvlText w:val="%1."/>
      <w:lvlJc w:val="left"/>
      <w:pPr>
        <w:ind w:left="726" w:hanging="252"/>
        <w:jc w:val="left"/>
      </w:pPr>
      <w:rPr>
        <w:rFonts w:hint="default" w:ascii="Arial" w:hAnsi="Arial" w:eastAsia="Arial" w:cs="Arial"/>
        <w:spacing w:val="-1"/>
        <w:w w:val="99"/>
        <w:sz w:val="20"/>
        <w:szCs w:val="20"/>
        <w:lang w:val="tr-TR" w:eastAsia="tr-TR" w:bidi="tr-TR"/>
      </w:rPr>
    </w:lvl>
    <w:lvl w:ilvl="1">
      <w:start w:val="0"/>
      <w:numFmt w:val="bullet"/>
      <w:lvlText w:val="•"/>
      <w:lvlJc w:val="left"/>
      <w:pPr>
        <w:ind w:left="1718" w:hanging="252"/>
      </w:pPr>
      <w:rPr>
        <w:rFonts w:hint="default"/>
        <w:lang w:val="tr-TR" w:eastAsia="tr-TR" w:bidi="tr-TR"/>
      </w:rPr>
    </w:lvl>
    <w:lvl w:ilvl="2">
      <w:start w:val="0"/>
      <w:numFmt w:val="bullet"/>
      <w:lvlText w:val="•"/>
      <w:lvlJc w:val="left"/>
      <w:pPr>
        <w:ind w:left="2716" w:hanging="252"/>
      </w:pPr>
      <w:rPr>
        <w:rFonts w:hint="default"/>
        <w:lang w:val="tr-TR" w:eastAsia="tr-TR" w:bidi="tr-TR"/>
      </w:rPr>
    </w:lvl>
    <w:lvl w:ilvl="3">
      <w:start w:val="0"/>
      <w:numFmt w:val="bullet"/>
      <w:lvlText w:val="•"/>
      <w:lvlJc w:val="left"/>
      <w:pPr>
        <w:ind w:left="3714" w:hanging="252"/>
      </w:pPr>
      <w:rPr>
        <w:rFonts w:hint="default"/>
        <w:lang w:val="tr-TR" w:eastAsia="tr-TR" w:bidi="tr-TR"/>
      </w:rPr>
    </w:lvl>
    <w:lvl w:ilvl="4">
      <w:start w:val="0"/>
      <w:numFmt w:val="bullet"/>
      <w:lvlText w:val="•"/>
      <w:lvlJc w:val="left"/>
      <w:pPr>
        <w:ind w:left="4712" w:hanging="252"/>
      </w:pPr>
      <w:rPr>
        <w:rFonts w:hint="default"/>
        <w:lang w:val="tr-TR" w:eastAsia="tr-TR" w:bidi="tr-TR"/>
      </w:rPr>
    </w:lvl>
    <w:lvl w:ilvl="5">
      <w:start w:val="0"/>
      <w:numFmt w:val="bullet"/>
      <w:lvlText w:val="•"/>
      <w:lvlJc w:val="left"/>
      <w:pPr>
        <w:ind w:left="5710" w:hanging="252"/>
      </w:pPr>
      <w:rPr>
        <w:rFonts w:hint="default"/>
        <w:lang w:val="tr-TR" w:eastAsia="tr-TR" w:bidi="tr-TR"/>
      </w:rPr>
    </w:lvl>
    <w:lvl w:ilvl="6">
      <w:start w:val="0"/>
      <w:numFmt w:val="bullet"/>
      <w:lvlText w:val="•"/>
      <w:lvlJc w:val="left"/>
      <w:pPr>
        <w:ind w:left="6708" w:hanging="252"/>
      </w:pPr>
      <w:rPr>
        <w:rFonts w:hint="default"/>
        <w:lang w:val="tr-TR" w:eastAsia="tr-TR" w:bidi="tr-TR"/>
      </w:rPr>
    </w:lvl>
    <w:lvl w:ilvl="7">
      <w:start w:val="0"/>
      <w:numFmt w:val="bullet"/>
      <w:lvlText w:val="•"/>
      <w:lvlJc w:val="left"/>
      <w:pPr>
        <w:ind w:left="7706" w:hanging="252"/>
      </w:pPr>
      <w:rPr>
        <w:rFonts w:hint="default"/>
        <w:lang w:val="tr-TR" w:eastAsia="tr-TR" w:bidi="tr-TR"/>
      </w:rPr>
    </w:lvl>
    <w:lvl w:ilvl="8">
      <w:start w:val="0"/>
      <w:numFmt w:val="bullet"/>
      <w:lvlText w:val="•"/>
      <w:lvlJc w:val="left"/>
      <w:pPr>
        <w:ind w:left="8704" w:hanging="252"/>
      </w:pPr>
      <w:rPr>
        <w:rFonts w:hint="default"/>
        <w:lang w:val="tr-TR" w:eastAsia="tr-TR" w:bidi="tr-TR"/>
      </w:rPr>
    </w:lvl>
  </w:abstractNum>
  <w:num w:numId="132">
    <w:abstractNumId w:val="131"/>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tr-TR" w:eastAsia="tr-TR" w:bidi="tr-TR"/>
    </w:rPr>
  </w:style>
  <w:style w:styleId="BodyText" w:type="paragraph">
    <w:name w:val="Body Text"/>
    <w:basedOn w:val="Normal"/>
    <w:uiPriority w:val="1"/>
    <w:qFormat/>
    <w:pPr/>
    <w:rPr>
      <w:rFonts w:ascii="Arial" w:hAnsi="Arial" w:eastAsia="Arial" w:cs="Arial"/>
      <w:sz w:val="20"/>
      <w:szCs w:val="20"/>
      <w:lang w:val="tr-TR" w:eastAsia="tr-TR" w:bidi="tr-TR"/>
    </w:rPr>
  </w:style>
  <w:style w:styleId="Heading1" w:type="paragraph">
    <w:name w:val="Heading 1"/>
    <w:basedOn w:val="Normal"/>
    <w:uiPriority w:val="1"/>
    <w:qFormat/>
    <w:pPr>
      <w:ind w:left="2207" w:right="2227"/>
      <w:jc w:val="center"/>
      <w:outlineLvl w:val="1"/>
    </w:pPr>
    <w:rPr>
      <w:rFonts w:ascii="Arial" w:hAnsi="Arial" w:eastAsia="Arial" w:cs="Arial"/>
      <w:b/>
      <w:bCs/>
      <w:sz w:val="20"/>
      <w:szCs w:val="20"/>
      <w:lang w:val="tr-TR" w:eastAsia="tr-TR" w:bidi="tr-TR"/>
    </w:rPr>
  </w:style>
  <w:style w:styleId="ListParagraph" w:type="paragraph">
    <w:name w:val="List Paragraph"/>
    <w:basedOn w:val="Normal"/>
    <w:uiPriority w:val="1"/>
    <w:qFormat/>
    <w:pPr>
      <w:ind w:left="726"/>
      <w:jc w:val="both"/>
    </w:pPr>
    <w:rPr>
      <w:rFonts w:ascii="Arial" w:hAnsi="Arial" w:eastAsia="Arial" w:cs="Arial"/>
      <w:lang w:val="tr-TR" w:eastAsia="tr-TR" w:bidi="tr-TR"/>
    </w:rPr>
  </w:style>
  <w:style w:styleId="TableParagraph" w:type="paragraph">
    <w:name w:val="Table Paragraph"/>
    <w:basedOn w:val="Normal"/>
    <w:uiPriority w:val="1"/>
    <w:qFormat/>
    <w:pPr/>
    <w:rPr>
      <w:lang w:val="tr-TR" w:eastAsia="tr-TR" w:bidi="tr-T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Publications Office</dc:creator>
  <dc:title>REGULATION  (EU)  2016/  679  OF  THE  EUROPEAN  PARLIAMENT  AND  OF  THE  COUNCIL  -  of  27  April  2016  -  on  the  protection  of  natural  persons  with  regard  to  the  processing  of  personal  data  and  on  the  free  movement  of  such  data,</dc:title>
  <dcterms:created xsi:type="dcterms:W3CDTF">2018-03-19T07:40:49Z</dcterms:created>
  <dcterms:modified xsi:type="dcterms:W3CDTF">2018-03-19T07:40:49Z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2016-07-15T00:00:00Z</vt:filetime>
  </property>
  <property fmtid="{D5CDD505-2E9C-101B-9397-08002B2CF9AE}" pid="3" name="Creator">
    <vt:lpwstr>Microsoft® Word 2010</vt:lpwstr>
  </property>
  <property fmtid="{D5CDD505-2E9C-101B-9397-08002B2CF9AE}" pid="4" name="LastSaved">
    <vt:filetime>2018-03-19T00:00:00Z</vt:filetime>
  </property>
</Properties>
</file>